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3979B" w14:textId="77777777" w:rsidR="00026B13" w:rsidRDefault="00026B13" w:rsidP="00670C79">
      <w:pPr>
        <w:pStyle w:val="Title"/>
        <w:rPr>
          <w:sz w:val="24"/>
          <w:szCs w:val="24"/>
        </w:rPr>
      </w:pPr>
    </w:p>
    <w:p w14:paraId="1FDBF6A5" w14:textId="77777777" w:rsidR="00026B13" w:rsidRDefault="00026B13" w:rsidP="00670C79">
      <w:pPr>
        <w:pStyle w:val="Title"/>
        <w:rPr>
          <w:sz w:val="24"/>
          <w:szCs w:val="24"/>
        </w:rPr>
      </w:pPr>
    </w:p>
    <w:p w14:paraId="26F6C776" w14:textId="3005A823" w:rsidR="00670C79" w:rsidRDefault="00670C79" w:rsidP="00670C79">
      <w:pPr>
        <w:pStyle w:val="Title"/>
        <w:rPr>
          <w:sz w:val="24"/>
          <w:szCs w:val="24"/>
        </w:rPr>
      </w:pPr>
      <w:r w:rsidRPr="00E52A87">
        <w:rPr>
          <w:sz w:val="24"/>
          <w:szCs w:val="24"/>
        </w:rPr>
        <w:t>NOTĂ DE  FUNDAMENTARE</w:t>
      </w:r>
      <w:r w:rsidR="00662E0D">
        <w:rPr>
          <w:sz w:val="24"/>
          <w:szCs w:val="24"/>
        </w:rPr>
        <w:t xml:space="preserve"> </w:t>
      </w:r>
    </w:p>
    <w:p w14:paraId="177BCAF6" w14:textId="7A83538F" w:rsidR="00FB676B" w:rsidRPr="00FB676B" w:rsidRDefault="00FB676B" w:rsidP="00FB676B">
      <w:pPr>
        <w:widowControl w:val="0"/>
        <w:spacing w:line="276" w:lineRule="auto"/>
        <w:jc w:val="center"/>
        <w:rPr>
          <w:b/>
        </w:rPr>
      </w:pPr>
    </w:p>
    <w:p w14:paraId="5491C98B" w14:textId="0D87FC5B" w:rsidR="00026B13" w:rsidRPr="00FB676B" w:rsidRDefault="00026B13" w:rsidP="00670C79">
      <w:pPr>
        <w:pStyle w:val="Title"/>
        <w:rPr>
          <w:sz w:val="24"/>
          <w:szCs w:val="24"/>
        </w:rPr>
      </w:pPr>
    </w:p>
    <w:p w14:paraId="644ECC36" w14:textId="064D25D1" w:rsidR="00670C79" w:rsidRDefault="00026B13" w:rsidP="00670C79">
      <w:pPr>
        <w:pStyle w:val="Heading6"/>
        <w:rPr>
          <w:sz w:val="24"/>
        </w:rPr>
      </w:pPr>
      <w:r w:rsidRPr="006449AD">
        <w:rPr>
          <w:sz w:val="24"/>
        </w:rPr>
        <w:t xml:space="preserve">  </w:t>
      </w:r>
      <w:r w:rsidR="00670C79" w:rsidRPr="006449AD">
        <w:rPr>
          <w:sz w:val="24"/>
        </w:rPr>
        <w:t>Secţiunea 1 Titlul proiectului de act normativ</w:t>
      </w:r>
    </w:p>
    <w:p w14:paraId="6EC87DD0" w14:textId="77777777" w:rsidR="00CB78C4" w:rsidRPr="00CB78C4" w:rsidRDefault="00CB78C4" w:rsidP="00CB78C4"/>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6449AD" w:rsidRPr="006449AD" w14:paraId="117C71DD" w14:textId="77777777" w:rsidTr="006A5A1B">
        <w:tc>
          <w:tcPr>
            <w:tcW w:w="10206" w:type="dxa"/>
          </w:tcPr>
          <w:p w14:paraId="4E01D5AE" w14:textId="7ACDA040" w:rsidR="00B21946" w:rsidRPr="006449AD" w:rsidRDefault="003F5CF6" w:rsidP="00B21946">
            <w:pPr>
              <w:widowControl w:val="0"/>
              <w:spacing w:line="276" w:lineRule="auto"/>
              <w:jc w:val="both"/>
              <w:rPr>
                <w:b/>
              </w:rPr>
            </w:pPr>
            <w:r w:rsidRPr="006449AD">
              <w:t>Ordonanţ</w:t>
            </w:r>
            <w:r w:rsidR="00916B41">
              <w:t>ă</w:t>
            </w:r>
            <w:r w:rsidRPr="006449AD">
              <w:t xml:space="preserve"> de urgenţă </w:t>
            </w:r>
            <w:r w:rsidR="00B21946" w:rsidRPr="006449AD">
              <w:t xml:space="preserve">pentru modificarea și completarea unor acte normative în domeniul fondurilor europene </w:t>
            </w:r>
          </w:p>
          <w:p w14:paraId="338F09EC" w14:textId="25E14431" w:rsidR="00670C79" w:rsidRPr="006449AD" w:rsidRDefault="00670C79" w:rsidP="00FB676B">
            <w:pPr>
              <w:widowControl w:val="0"/>
              <w:spacing w:line="276" w:lineRule="auto"/>
              <w:jc w:val="both"/>
              <w:rPr>
                <w:lang w:eastAsia="ro-RO"/>
              </w:rPr>
            </w:pPr>
          </w:p>
        </w:tc>
      </w:tr>
    </w:tbl>
    <w:p w14:paraId="6E28D791" w14:textId="77777777" w:rsidR="00670C79" w:rsidRPr="006449AD" w:rsidRDefault="00670C79" w:rsidP="00670C79">
      <w:r w:rsidRPr="006449AD">
        <w:t xml:space="preserve"> </w:t>
      </w:r>
    </w:p>
    <w:p w14:paraId="58B06F0F" w14:textId="77777777" w:rsidR="00026B13" w:rsidRPr="006449AD" w:rsidRDefault="00670C79" w:rsidP="00670C79">
      <w:pPr>
        <w:rPr>
          <w:b/>
        </w:rPr>
      </w:pPr>
      <w:r w:rsidRPr="006449AD">
        <w:rPr>
          <w:b/>
        </w:rPr>
        <w:t xml:space="preserve">  </w:t>
      </w:r>
    </w:p>
    <w:p w14:paraId="2FE2BCEE" w14:textId="03A16BC5" w:rsidR="00670C79" w:rsidRDefault="00670C79" w:rsidP="00670C79">
      <w:pPr>
        <w:rPr>
          <w:b/>
        </w:rPr>
      </w:pPr>
      <w:r w:rsidRPr="006449AD">
        <w:rPr>
          <w:b/>
        </w:rPr>
        <w:t xml:space="preserve"> Secţiunea a 2-a  Motivul emiterii actului normativ</w:t>
      </w:r>
    </w:p>
    <w:p w14:paraId="23181ACA" w14:textId="77777777" w:rsidR="00CB78C4" w:rsidRPr="006449AD" w:rsidRDefault="00CB78C4" w:rsidP="00670C79">
      <w:pPr>
        <w:rPr>
          <w:b/>
        </w:rPr>
      </w:pPr>
    </w:p>
    <w:p w14:paraId="2876B5A1" w14:textId="77777777" w:rsidR="00670C79" w:rsidRPr="006449AD" w:rsidRDefault="00670C79" w:rsidP="00670C79">
      <w:pPr>
        <w:rPr>
          <w:b/>
        </w:rPr>
      </w:pP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13"/>
      </w:tblGrid>
      <w:tr w:rsidR="006449AD" w:rsidRPr="006449AD" w14:paraId="47D7FD1D" w14:textId="77777777" w:rsidTr="006A5A1B">
        <w:tc>
          <w:tcPr>
            <w:tcW w:w="2684" w:type="dxa"/>
          </w:tcPr>
          <w:p w14:paraId="6D2299AF" w14:textId="77777777" w:rsidR="00670C79" w:rsidRPr="006449AD" w:rsidRDefault="00670C79" w:rsidP="006A5A1B">
            <w:pPr>
              <w:pStyle w:val="BodyText2"/>
              <w:rPr>
                <w:sz w:val="24"/>
              </w:rPr>
            </w:pPr>
          </w:p>
          <w:p w14:paraId="636EB141" w14:textId="77777777" w:rsidR="00670C79" w:rsidRPr="006449AD" w:rsidRDefault="00670C79" w:rsidP="00085904">
            <w:pPr>
              <w:pStyle w:val="BodyText2"/>
              <w:rPr>
                <w:sz w:val="24"/>
              </w:rPr>
            </w:pPr>
            <w:r w:rsidRPr="006449AD">
              <w:rPr>
                <w:sz w:val="24"/>
              </w:rPr>
              <w:t>1.Descrierea situaţiei actuale</w:t>
            </w:r>
          </w:p>
        </w:tc>
        <w:tc>
          <w:tcPr>
            <w:tcW w:w="7513" w:type="dxa"/>
          </w:tcPr>
          <w:p w14:paraId="2892ECFF" w14:textId="77777777" w:rsidR="00670C79" w:rsidRPr="006449AD" w:rsidRDefault="00670C79" w:rsidP="009B71DC">
            <w:pPr>
              <w:spacing w:before="120" w:after="120"/>
              <w:jc w:val="both"/>
              <w:rPr>
                <w:lang w:eastAsia="ro-RO"/>
              </w:rPr>
            </w:pPr>
            <w:r w:rsidRPr="006449AD">
              <w:rPr>
                <w:lang w:eastAsia="ro-RO"/>
              </w:rPr>
              <w:t>Ordonanţă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și completările ulterioare, reglementează activităţile de prevenire, de constatare a neregulilor, de stabilire şi de recuperare a creanţelor bugetare rezultate din neregulile apărute în obţinerea şi utilizarea fondurilor europene şi/sau a fondurilor publice naţionale aferente acestora, precum şi de raportare a neregulilor către Comisia Europeană sau către alţi donatori internaţionali.</w:t>
            </w:r>
          </w:p>
          <w:p w14:paraId="279AB912" w14:textId="77777777" w:rsidR="00670C79" w:rsidRPr="006449AD" w:rsidRDefault="00670C79" w:rsidP="009B71DC">
            <w:pPr>
              <w:widowControl w:val="0"/>
              <w:autoSpaceDE w:val="0"/>
              <w:autoSpaceDN w:val="0"/>
              <w:adjustRightInd w:val="0"/>
              <w:spacing w:before="120" w:after="120"/>
              <w:jc w:val="both"/>
            </w:pPr>
            <w:r w:rsidRPr="006449AD">
              <w:t>Forma în vigoare a Ordonanţei de urgenţă a Guvernului nr. 66/2011, aprobată cu modificări şi completări prin Legea nr. 142/2012, cu modificările și completările ulterioare prevede la art. 20 alin. (2) lit. d) că activitatea de constatare a neregulilor și de stabilire a creanțelor bugetare se efectuează de către o structură de control din cadrul Ministerului Finanțelor Publice, în două cazuri: la solicitarea autorităţii cu competenţe în gestionarea fondurilor europene sau, după caz, a autorităţii de certificare, când aceasta constată că nu au fost valorificate integral constatările cu implicații financiare sau posibile implicații financiare din rapoartele sale de verificare, respectiv la solicitarea autorității cu competențe în gestionarea fondurilor europene, sau a Autorității de Certificare, după caz, în situații de incompatibilitate.</w:t>
            </w:r>
          </w:p>
          <w:p w14:paraId="75BAB77C" w14:textId="77777777" w:rsidR="00670C79" w:rsidRPr="006449AD" w:rsidRDefault="00670C79" w:rsidP="009B71DC">
            <w:pPr>
              <w:widowControl w:val="0"/>
              <w:autoSpaceDE w:val="0"/>
              <w:autoSpaceDN w:val="0"/>
              <w:adjustRightInd w:val="0"/>
              <w:spacing w:before="120" w:after="120"/>
              <w:jc w:val="both"/>
            </w:pPr>
            <w:r w:rsidRPr="006449AD">
              <w:t xml:space="preserve">Acest mecanism presupune că o structură distinctă de autoritatea de management și respectiv de autoritatea de certificare, stabilește dacă în legătură cu anumite cheltuieli efectuate în cadrul proiectelor finanțate există sau nu nereguli, respectiv sume care pot avea caracter neeligibil. În acest sens, cheltuielile în relație cu care s-au stabilit nereguli și s-au constatat, corelativ, creanțele bugetare rezultate din acestea, prin activitatea structurii de control din cadrul Ministerului Finanțelor Publice, nu sunt incluse în </w:t>
            </w:r>
            <w:r w:rsidRPr="006449AD">
              <w:lastRenderedPageBreak/>
              <w:t xml:space="preserve">Aplicații de Plată, nefiind declarate spre rambursare Comisiei Europene. </w:t>
            </w:r>
          </w:p>
          <w:p w14:paraId="171E08FC" w14:textId="77777777" w:rsidR="00670C79" w:rsidRPr="006449AD" w:rsidRDefault="00670C79" w:rsidP="009B71DC">
            <w:pPr>
              <w:widowControl w:val="0"/>
              <w:autoSpaceDE w:val="0"/>
              <w:autoSpaceDN w:val="0"/>
              <w:adjustRightInd w:val="0"/>
              <w:spacing w:before="120" w:after="120"/>
              <w:jc w:val="both"/>
            </w:pPr>
            <w:r w:rsidRPr="006449AD">
              <w:t xml:space="preserve">În acest sens, se consideră că rezultatele reținute în titlurile de creanță emise de către structura din cadrul Ministerului Finanțelor Publice, </w:t>
            </w:r>
            <w:r w:rsidR="00530AC8" w:rsidRPr="006449AD">
              <w:t xml:space="preserve">ca </w:t>
            </w:r>
            <w:r w:rsidRPr="006449AD">
              <w:t>urmare</w:t>
            </w:r>
            <w:r w:rsidR="00530AC8" w:rsidRPr="006449AD">
              <w:t xml:space="preserve"> a</w:t>
            </w:r>
            <w:r w:rsidRPr="006449AD">
              <w:t xml:space="preserve"> activității proprii de control declanșat la solicitarea autorităţii cu competenţe în gestionarea fondurilor europene sau, după caz, a autorităţii de certificare, au impact direct asupra stabilirii caracterului de legalitate și regularitate al cheltuielilor în ceea ce privește decizia finală a Autorității de Certificare cu privire la sumele care vor fi declarate Comisiei Europene.</w:t>
            </w:r>
          </w:p>
          <w:p w14:paraId="764B659D" w14:textId="77777777" w:rsidR="00670C79" w:rsidRPr="006449AD" w:rsidRDefault="00670C79" w:rsidP="009B71DC">
            <w:pPr>
              <w:shd w:val="clear" w:color="auto" w:fill="FFFFFF"/>
              <w:spacing w:before="120" w:after="120"/>
              <w:jc w:val="both"/>
            </w:pPr>
            <w:r w:rsidRPr="006449AD">
              <w:t>De asemenea, este necesară reglementarea urgentă a măsurilor agreate cu reprezentanții Comisiei Europene pentru clarificarea rolului Autorității de Certificare în relație cu activitatea structurii de control din cadrul Ministerului Finanțelor Publice, în vederea continuării transmiterii declarațiilor de cheltuieli la Comisia Europeană, aferente POAD, în scopul asigurării rambursărilor de fonduri de la Comisia Europeană.</w:t>
            </w:r>
          </w:p>
          <w:p w14:paraId="274C6574" w14:textId="77944A3B" w:rsidR="00670C79" w:rsidRPr="006449AD" w:rsidRDefault="002E6018" w:rsidP="009B71DC">
            <w:pPr>
              <w:spacing w:before="120" w:after="120"/>
              <w:jc w:val="both"/>
            </w:pPr>
            <w:r w:rsidRPr="006449AD">
              <w:t xml:space="preserve">În prezent pentru abaterile de la legislaţia privind achiziţiile publice sunt aplicabile prevederile anexei </w:t>
            </w:r>
            <w:r w:rsidR="009064F7" w:rsidRPr="009B71DC">
              <w:t xml:space="preserve">la </w:t>
            </w:r>
            <w:r w:rsidR="009064F7" w:rsidRPr="009357B9">
              <w:t xml:space="preserve">Ordonanţa de urgenţă a Guvernului nr. </w:t>
            </w:r>
            <w:r w:rsidR="009064F7" w:rsidRPr="009B71DC">
              <w:t>66/2011</w:t>
            </w:r>
            <w:r w:rsidR="009064F7">
              <w:t>, cu modificările şi completările ulterioare,</w:t>
            </w:r>
            <w:r w:rsidR="009064F7" w:rsidRPr="009B71DC">
              <w:t xml:space="preserve"> </w:t>
            </w:r>
            <w:r w:rsidRPr="006449AD">
              <w:t>în care au fost incluse prevederil</w:t>
            </w:r>
            <w:r w:rsidR="00017D04" w:rsidRPr="006449AD">
              <w:t xml:space="preserve">e Ghidului COCOF C(2013) 9527. </w:t>
            </w:r>
            <w:r w:rsidRPr="006449AD">
              <w:t xml:space="preserve">Având în vedere faptul că la data de 14 mai 2019, Comisia Europeană a aprobat, prin Decizia CE C(2019) 3452, </w:t>
            </w:r>
            <w:r w:rsidR="005E6BD7" w:rsidRPr="006449AD">
              <w:t>un nou ghid</w:t>
            </w:r>
            <w:r w:rsidRPr="006449AD">
              <w:t xml:space="preserve"> privind stabilirea corecțiilor financiare pentru abateri de la respectarea normelor de achiziții publice pentru cheltuielile finanțate de Uniunea Europeană, este necesară completarea actului normativ.</w:t>
            </w:r>
            <w:r w:rsidR="00BA47F0" w:rsidRPr="006449AD">
              <w:t xml:space="preserve"> Nepreluarea modificărilor introduse la nivel european referitoare la tipurile de abateri este de natură să genereze diferențe din ce în ce mai mari între corecțiile aplicate de către CE în raport cu statul membru pe de o parte, respectiv de către autoritățile naționale în raport cu beneficiarii, pe de altă parte.</w:t>
            </w:r>
          </w:p>
          <w:p w14:paraId="3D93C487" w14:textId="77777777" w:rsidR="00D52251" w:rsidRPr="006449AD" w:rsidRDefault="00D52251" w:rsidP="009B71DC">
            <w:pPr>
              <w:spacing w:before="120" w:after="120"/>
              <w:jc w:val="both"/>
              <w:rPr>
                <w:rFonts w:eastAsia="Calibri"/>
                <w:bCs/>
              </w:rPr>
            </w:pPr>
            <w:r w:rsidRPr="006449AD">
              <w:rPr>
                <w:rFonts w:eastAsia="Calibri"/>
                <w:bCs/>
              </w:rPr>
              <w:t>Ordonanța de urgență a Guvernului nr. 40/2015 stabilește cadrul financiar general pentru gestionarea asistenței financiare nerambursabile alocate României din Fondul European de Dezvoltare Regională, Fondul Social European, Fondul de Coeziune și Fondul de ajutor european destinat celor mai defavorizate persoane în perioada de programare 2014-2020, precum și a prefinanțării și cofinanțării aferente acestei asistențe, în vederea asigurării unui management financiar eficient al acestor fonduri.</w:t>
            </w:r>
          </w:p>
          <w:p w14:paraId="754F9589" w14:textId="77777777" w:rsidR="00E44A2E" w:rsidRPr="009B71DC" w:rsidRDefault="00E44A2E" w:rsidP="00E44A2E">
            <w:pPr>
              <w:spacing w:before="120" w:after="120"/>
              <w:jc w:val="both"/>
            </w:pPr>
            <w:r w:rsidRPr="009B71DC">
              <w:t xml:space="preserve">Forma actuală a </w:t>
            </w:r>
            <w:r>
              <w:t>Ordonanței</w:t>
            </w:r>
            <w:r w:rsidRPr="009357B9">
              <w:t xml:space="preserve"> de urgență a Guvernului nr. </w:t>
            </w:r>
            <w:r w:rsidRPr="009B71DC">
              <w:t>40/2015, cu modificările și completările ulterioare, prevede la art. 6 alin. (2) sintagma ”proiectele de investiții de infrastructură de transport”.</w:t>
            </w:r>
          </w:p>
          <w:p w14:paraId="09289BB7" w14:textId="77777777" w:rsidR="00E44A2E" w:rsidRPr="009B71DC" w:rsidRDefault="00E44A2E" w:rsidP="00E44A2E">
            <w:pPr>
              <w:spacing w:before="120" w:after="120"/>
              <w:jc w:val="both"/>
            </w:pPr>
            <w:r w:rsidRPr="009B71DC">
              <w:t xml:space="preserve">Art. 12 din </w:t>
            </w:r>
            <w:r w:rsidRPr="009357B9">
              <w:t xml:space="preserve">Ordonanța de urgență a Guvernului nr. </w:t>
            </w:r>
            <w:r w:rsidRPr="009B71DC">
              <w:t>40/2015</w:t>
            </w:r>
            <w:r>
              <w:t>, cu modificările şi completările ulterioare,</w:t>
            </w:r>
            <w:r w:rsidRPr="009B71DC">
              <w:t xml:space="preserve"> prevede ca „autorităţile de management sunt autorizate să încheie/să emită contracte/decizii/ordine de finanţare a căror valoare poate determina depăşirea, în anumite limite stabilite prin prezentul act normativ, a sumelor alocate în euro, la nivel de program din Fondul european de dezvoltare regională, Fondul de coeziune, Fondul social european, Fondul de ajutor european destinat celor mai defavorizate persoane şi cofinanţare de la bugetul de stat, cu încadrare în creditele de angajament aprobate anual cu această destinaţie prin legile bugetare anuale.”</w:t>
            </w:r>
          </w:p>
          <w:p w14:paraId="1F22B564" w14:textId="77777777" w:rsidR="00213BDB" w:rsidRPr="006449AD" w:rsidRDefault="00213BDB" w:rsidP="009B71DC">
            <w:pPr>
              <w:spacing w:before="120" w:after="120"/>
              <w:jc w:val="both"/>
            </w:pPr>
            <w:r w:rsidRPr="006449AD">
              <w:lastRenderedPageBreak/>
              <w:t>Forma actuală a ordonanței de urgență, nu acoperă situațiile în care există hotărâri judecătoreşti definitive în favoarea solicitanților de finanțare care ar fi fost îndreptățiți să semneze contracte de finanțare.</w:t>
            </w:r>
          </w:p>
          <w:p w14:paraId="64B76D05" w14:textId="77777777" w:rsidR="00213BDB" w:rsidRPr="006449AD" w:rsidRDefault="00213BDB" w:rsidP="009B71DC">
            <w:pPr>
              <w:spacing w:before="120" w:after="120"/>
              <w:jc w:val="both"/>
            </w:pPr>
            <w:r w:rsidRPr="006449AD">
              <w:t>Prevederile actuale ale art. 15 alin. (4) ale OUG nr. 40/2015, cu modificările și completările ulterioare prevăd ca obligația beneficiarului/Liderului de parteneriat care a depus cerere de prefinanţare de depunere a unei cereri de rambursare care să cuprindă cheltuielile efectuate din tranşa de prefinanţare acordată, în cuantum de minimum 50% din valoarea acesteia, în termen de maximum 90 de zile calendaristice de la data la care autoritatea de management a virat tranşa de prefinanţare în contul beneficiarului.</w:t>
            </w:r>
          </w:p>
          <w:p w14:paraId="58DC34C5" w14:textId="77777777" w:rsidR="00FD0D95" w:rsidRPr="006449AD" w:rsidRDefault="00FD0D95" w:rsidP="009B71DC">
            <w:pPr>
              <w:spacing w:before="120" w:after="120"/>
              <w:jc w:val="both"/>
            </w:pPr>
            <w:r w:rsidRPr="006449AD">
              <w:t>Mecanismul actual de acordare si recuperare al prefinanțării este unul greoi și nu este potrivit specificului implementării POCU, generând blocaje artificiale în implementare. Predispuse la blocaje sunt proiectele implementate în parteneriate încheiate între instituții publice și entități private, datorită ritmului și vitezei de implementare diferite.</w:t>
            </w:r>
          </w:p>
          <w:p w14:paraId="12E1450F" w14:textId="77777777" w:rsidR="009B71DC" w:rsidRPr="006449AD" w:rsidRDefault="009B71DC" w:rsidP="009B71DC">
            <w:pPr>
              <w:spacing w:before="120" w:after="120"/>
              <w:jc w:val="both"/>
            </w:pPr>
            <w:r w:rsidRPr="006449AD">
              <w:t>Alocarea financiară pentru Programul Operațional Infrastructură Mare (POIM) este de 9,21 miliarde de euro, însă, la sfârșitul anului 2020, există un risc de dezangajare automată în cuantum de aproximativ 1 miliard de euro. Astfel, se impune adoptarea de măsuri în vederea evitării dezangajării si a îmbunătățirii ratei de absorbție a fondurilor alocate prin POIM până la atingerea și chiar depășirea țintelor asumate de România pentru acest program, dată fiind complexitatea proiectelor care cuprind lucrări de infrastructură de alimentare cu apă și apă uzată, coroborată cu structura programului operațional, care presupune existența cu preponderență a beneficiarilor preidentificaţi.</w:t>
            </w:r>
          </w:p>
          <w:p w14:paraId="6722FB9B" w14:textId="77777777" w:rsidR="009B71DC" w:rsidRPr="006449AD" w:rsidRDefault="009B71DC" w:rsidP="009B71DC">
            <w:pPr>
              <w:spacing w:before="120" w:after="120"/>
              <w:jc w:val="both"/>
            </w:pPr>
            <w:r w:rsidRPr="006449AD">
              <w:t>Una dintre măsurile strategice identificate la nivelul Guvernului României constă în includerea în portofoliul POIM a proiectelor finanțate în cadrul Programului național de dezvoltare locală (PNDL) şi de a solicita astfel la rambursare din bugetul UE cheltuielile realizate din surse naționale, în scopul maximizării absorbției din fonduri europene şi a evitării riscului de dezangajare automată a fondurilor alocate POIM. Facem precizarea că proiectele vizate de prezenta modificare conduc la îmbunătățirea infrastructurii de mediu din România și răspund politicilor și obiectivelor de finanțare ale UE. Totodată, mecanismul propus este cel instituit prin Ordonanța de urgență a Guvernului nr. 30/2018 privind instituirea unor măsuri în domeniul fondurilor europene şi pentru completarea unor acte normative, aprobată cu modificări şi completări prin Legea nr. 260/2018, prin care au fost preluate la finanțare proiecte nefinalizate, în vederea atingerii obiectivelor propuse, maximizării absorbției și evitării de corecții financiare.</w:t>
            </w:r>
          </w:p>
          <w:p w14:paraId="441B5B20" w14:textId="26AFB7D7" w:rsidR="009B71DC" w:rsidRPr="006449AD" w:rsidRDefault="009B71DC" w:rsidP="009B71DC">
            <w:pPr>
              <w:spacing w:before="120" w:after="120"/>
              <w:jc w:val="both"/>
            </w:pPr>
            <w:r w:rsidRPr="006449AD">
              <w:t xml:space="preserve">Având în vedere aspectele prezentate, se impune depunerea tuturor eforturilor de către Ministerul Lucrărilor Publice, Dezvoltării și Administrației, în limita competențelor legale, în calitatea sa de finanțator prin PNDL și de către beneficiari, în vederea realizării acestei acțiuni. Ministerul Fondurilor Europene în calitate de Autoritate de management pentru POIM (AM POIM), prin structurile sale centrale și regionale, va </w:t>
            </w:r>
            <w:r w:rsidRPr="006449AD">
              <w:lastRenderedPageBreak/>
              <w:t>analiza atât documentar, cât și la fața locului pregătirea și implementarea proiectelor, pentru solicitarea la rambursare a cheltuielilor deja realizate și finalizarea acestora din fonduri europene nerambursabile.</w:t>
            </w:r>
          </w:p>
          <w:p w14:paraId="6883B117" w14:textId="77777777" w:rsidR="009B71DC" w:rsidRPr="006449AD" w:rsidRDefault="009B71DC" w:rsidP="009B71DC">
            <w:pPr>
              <w:spacing w:before="120" w:after="120"/>
              <w:jc w:val="both"/>
            </w:pPr>
            <w:r w:rsidRPr="006449AD">
              <w:t>Având în vedere faptul că, până în prezent, nu au fost analizate documentar proiectele ce fac obiectul prezentului act normativ, nu se poate cuantifica impactul bugetar al acestui exercițiu.</w:t>
            </w:r>
          </w:p>
          <w:p w14:paraId="1F2DB0B9" w14:textId="77777777" w:rsidR="009B71DC" w:rsidRPr="006449AD" w:rsidRDefault="009B71DC" w:rsidP="009B71DC">
            <w:pPr>
              <w:spacing w:before="120" w:after="120"/>
              <w:jc w:val="both"/>
            </w:pPr>
            <w:r w:rsidRPr="006449AD">
              <w:t>II. Guvernul României are ca obiectiv strategic creșterea absorbției fondurilor structurale și de coeziune. În acest sens este necesară implementarea în integralitate a tuturor proiectelor finanțate din fondurile alocate României de către Comisia Europeană, pentru a evita riscul  returnării acestor fonduri.</w:t>
            </w:r>
          </w:p>
          <w:p w14:paraId="36E17C3A" w14:textId="77777777" w:rsidR="009B71DC" w:rsidRPr="006449AD" w:rsidRDefault="009B71DC" w:rsidP="009B71DC">
            <w:pPr>
              <w:spacing w:before="120" w:after="120"/>
              <w:jc w:val="both"/>
            </w:pPr>
            <w:r w:rsidRPr="006449AD">
              <w:t>Programul ISPA (Instrument pentru Politici Structurale de Pre-Aderare) a reprezentat  un instrument de finanțare nerambursabilă care a sprijinit România în vederea alinierii standardelor de mediu şi transport la cele ale Uniunii Europene. Începând cu data de 1 ianuarie 2007, în baza Tratatului de Aderare la Uniunea Europeană, proiectele ISPA s-au derulat în baza prevederilor aplicabile Fondului de Coeziune, conform Regulamentului CE nr. 1164/1994 privind stabilirea Fondului de Coeziune si a Regulamentului CE nr. 1084/2006 de creare a Fondului de coeziune și de abrogare a Regulamentului (CE) nr. 1164/94.</w:t>
            </w:r>
          </w:p>
          <w:p w14:paraId="0367A0CE" w14:textId="77777777" w:rsidR="009B71DC" w:rsidRPr="006449AD" w:rsidRDefault="009B71DC" w:rsidP="009B71DC">
            <w:pPr>
              <w:spacing w:before="120" w:after="120"/>
              <w:jc w:val="both"/>
            </w:pPr>
            <w:r w:rsidRPr="006449AD">
              <w:t>Ministerul Fondurilor Europene, cu atribuții de autoritate de management pentru Programul ex-ISPA, asigură gestionarea fondurilor nerambursabile alocate de Comisia Europeana României, cât și premisele pentru finalizarea tuturor contractelor din cadrul măsurilor ex-ISPA și atingerea obiectivelor prevăzute în acest scop. Precizăm că Autoritatea de Management ex-ISPA a fost preluată de la Ministerul Finanțelor Publice de către Ministerul Fondurilor Europene prin Ordonanța de urgență a Guvernului nr. 96/2012 privind stabilirea unor măsuri de reorganizare în cadrul administrației publice centrale și pentru modificarea unor acte normative, aprobată cu modificări și completări prin Legea nr. 71/2013, cu modificările și completările ulterioare.</w:t>
            </w:r>
          </w:p>
          <w:p w14:paraId="3990A93F" w14:textId="77777777" w:rsidR="009B71DC" w:rsidRPr="006449AD" w:rsidRDefault="009B71DC" w:rsidP="009B71DC">
            <w:pPr>
              <w:spacing w:before="120" w:after="120"/>
              <w:jc w:val="both"/>
            </w:pPr>
            <w:r w:rsidRPr="006449AD">
              <w:t xml:space="preserve">Perioada de eligibilitate a cheltuielilor pentru proiectele ex-ISPA în domeniul transporturilor a expirat la data de 31 decembrie 2012,  iar prin  Ordonanța de urgență a Guvernului nr. 61/2014  a fost prelungită  perioada de implementare până la data de 31 decembrie 2017, iar prin Ordonanța de urgență a Guvernului nr. 102/2017 a fost prelungită  perioada de implementare până la data de 31 decembrie 2019, autorităților române revenindu-le în continuare obligația îndeplinirii angajamentelor asumate în cadrul memorandumurilor de finanțare, privind asigurarea funcționalității și sustenabilității investițiilor (condiţionalităţile 8.1 și 8.2), sub sancțiunea declarării ca neeligibile a tuturor cheltuielilor din cadrul proiectelor finanțate care nu au fost implementate și pentru a evita riscul dezangajării. </w:t>
            </w:r>
          </w:p>
          <w:p w14:paraId="7DB9A861" w14:textId="77777777" w:rsidR="009B71DC" w:rsidRPr="006449AD" w:rsidRDefault="009B71DC" w:rsidP="009B71DC">
            <w:pPr>
              <w:spacing w:before="120" w:after="120"/>
              <w:jc w:val="both"/>
            </w:pPr>
            <w:r w:rsidRPr="006449AD">
              <w:t xml:space="preserve">În prezent unitățile care funcționează sub autoritatea Ministerului Transporturilor, Infrastructurii și Comunicațiilor, respectiv Compania Națională de Administrare a Infrastructurii Rutiere - S.A și Compania Națională de Căi Ferate "C.F.R." - S.A., gestionează un număr de 10 contracte de achiziție publică (atât contracte de lucrări, cât și contracte de </w:t>
            </w:r>
            <w:r w:rsidRPr="006449AD">
              <w:lastRenderedPageBreak/>
              <w:t xml:space="preserve">consultanță) aferente măsurilor ex-ISPA, ce nu au fost finalizate până la această dată, cu o valoare totală de 1,6 mil. euro. </w:t>
            </w:r>
          </w:p>
          <w:p w14:paraId="567D90EA" w14:textId="77777777" w:rsidR="009B71DC" w:rsidRPr="006449AD" w:rsidRDefault="009B71DC" w:rsidP="009B71DC">
            <w:pPr>
              <w:spacing w:before="120" w:after="120"/>
              <w:jc w:val="both"/>
            </w:pPr>
            <w:r w:rsidRPr="006449AD">
              <w:t xml:space="preserve">Prelungirea perioadei până la data de 31 decembrie 2022 se impune deoarece implementarea proiectelor nu a fost finalizată din cauza numeroaselor probleme de natură contractuală apărute între beneficiari și constructori care au condus la litigii, cu un  impact financiar în valoare totală de 77,6 mil. euro pentru  Compania Națională de Căi Ferate "C.F.R." - S.A. și 48,7 mil. euro la Compania Națională de Administrare a Infrastructurii Rutiere - S.A, aflate pe rolul instanțelor civile. </w:t>
            </w:r>
          </w:p>
          <w:p w14:paraId="2A2D4EA1" w14:textId="77777777" w:rsidR="009B71DC" w:rsidRPr="006449AD" w:rsidRDefault="009B71DC" w:rsidP="009B71DC">
            <w:pPr>
              <w:spacing w:before="120" w:after="120"/>
              <w:jc w:val="both"/>
            </w:pPr>
            <w:r w:rsidRPr="006449AD">
              <w:t>Prin urmare, este necesară prelungirea perioadei de implementare până la data de 31.12.2022 deoarece creditele bugetare alocate titlului bugetar „Cheltuieli neeligibile ex-ISPA” nu au condus la recuperarea creanțelor stabilite până la această dată, pentru a permite stingerea tuturor obligațiilor de plată către contractori și către Comisia Europeană, cât și pentru a reîntregi Fondul de Indisponibilități Temporare de la nivelul Autorității de Certificare și Plată din cadrul Ministerului Finanțelor Publice.</w:t>
            </w:r>
          </w:p>
          <w:p w14:paraId="272E465D" w14:textId="77777777" w:rsidR="009B71DC" w:rsidRPr="006449AD" w:rsidRDefault="009B71DC" w:rsidP="009B71DC">
            <w:pPr>
              <w:spacing w:before="120" w:after="120"/>
              <w:jc w:val="both"/>
            </w:pPr>
            <w:r w:rsidRPr="006449AD">
              <w:t>Menționăm că la această dată nu este închisă în relația cu Comisia Europeană măsura ex-ISPA 2000/RO/16/P/PT/001 CFR București Constanța, pentru care suma de returnat Comisiei Europene este estimată la această dată la 21,7 mil. euro, conform răspunsului autorităților române la proiectul scrisorii de preînchidere nr. ARES(2017) 3025216 – 16.06.2017, emisă de Comisie.</w:t>
            </w:r>
          </w:p>
          <w:p w14:paraId="60F6EA3C" w14:textId="77777777" w:rsidR="009B71DC" w:rsidRPr="006449AD" w:rsidRDefault="009B71DC" w:rsidP="009B71DC">
            <w:pPr>
              <w:spacing w:before="120" w:after="120"/>
              <w:jc w:val="both"/>
            </w:pPr>
            <w:r w:rsidRPr="006449AD">
              <w:t>Caracterul de urgență rezultă din faptul că, neadoptarea măsurilor necesare pentru finanțarea măsurilor ex-ISPA și implicit neatingerea obiectivelor măsurilor ex-ISPA ar conduce la dezangajarea sumelor deja rambursate României și astfel grevarea semnificativă a Bugetului de stat.</w:t>
            </w:r>
          </w:p>
          <w:p w14:paraId="45862F79" w14:textId="4DFF7081" w:rsidR="00BB34E3" w:rsidRPr="006449AD" w:rsidRDefault="00E44A2E" w:rsidP="006467F1">
            <w:pPr>
              <w:spacing w:before="120" w:after="120"/>
              <w:jc w:val="both"/>
            </w:pPr>
            <w:r w:rsidRPr="003C64E8">
              <w:t xml:space="preserve">Ordonanța de urgență a Guvernului nr. 26/2012 privind unele măsuri de reducere a cheltuielilor publice și întărirea disciplinei financiare și de modificare și completare a unor acte normative, aprobată cu modificări şi completări prin Legea nr.16/2013, cu modificările și completările ulterioare, </w:t>
            </w:r>
            <w:r w:rsidR="00BB34E3" w:rsidRPr="006449AD">
              <w:t>interzice autorităților și instituțiilor publice ale administrației publice centrale și locale, indiferent de modul de finanțare și subordonare, efectuarea de cheltuieli pentru achiziționarea și/sau elaborarea studiilor de prefezabilitate, a studiilor de fezabilitate și a altor studii aferente obiectivelor de investiții a căror finan</w:t>
            </w:r>
            <w:r w:rsidR="006467F1" w:rsidRPr="006449AD">
              <w:t>țat</w:t>
            </w:r>
            <w:r w:rsidR="00BB34E3" w:rsidRPr="006449AD">
              <w:t>e nu poate fi asigurat</w:t>
            </w:r>
            <w:r w:rsidR="006467F1" w:rsidRPr="006449AD">
              <w:t>ă</w:t>
            </w:r>
            <w:r w:rsidR="00BB34E3" w:rsidRPr="006449AD">
              <w:t xml:space="preserve"> integral conform doc</w:t>
            </w:r>
            <w:r w:rsidR="006467F1" w:rsidRPr="006449AD">
              <w:t>umentației</w:t>
            </w:r>
            <w:r w:rsidR="00BB34E3" w:rsidRPr="006449AD">
              <w:t xml:space="preserve"> tehnico</w:t>
            </w:r>
            <w:r w:rsidR="006467F1" w:rsidRPr="006449AD">
              <w:t>-</w:t>
            </w:r>
            <w:r w:rsidR="00BB34E3" w:rsidRPr="006449AD">
              <w:t>economice aprobate. Deși sun</w:t>
            </w:r>
            <w:r w:rsidR="006467F1" w:rsidRPr="006449AD">
              <w:t>t</w:t>
            </w:r>
            <w:r w:rsidR="00BB34E3" w:rsidRPr="006449AD">
              <w:t xml:space="preserve"> exceptate </w:t>
            </w:r>
            <w:r w:rsidR="006467F1" w:rsidRPr="006449AD">
              <w:rPr>
                <w:bdr w:val="none" w:sz="0" w:space="0" w:color="auto" w:frame="1"/>
                <w:shd w:val="clear" w:color="auto" w:fill="FFFFFF"/>
              </w:rPr>
              <w:t>studiile întocmite în vederea accesării de fonduri externe nerambursabile,</w:t>
            </w:r>
            <w:r w:rsidR="006467F1" w:rsidRPr="006449AD">
              <w:t xml:space="preserve"> î</w:t>
            </w:r>
            <w:r w:rsidR="00BB34E3" w:rsidRPr="006449AD">
              <w:t>n cazul proiectelor strategice</w:t>
            </w:r>
            <w:r w:rsidR="006467F1" w:rsidRPr="006449AD">
              <w:t>,</w:t>
            </w:r>
            <w:r w:rsidR="00BB34E3" w:rsidRPr="006449AD">
              <w:t xml:space="preserve"> </w:t>
            </w:r>
            <w:r w:rsidR="006467F1" w:rsidRPr="006449AD">
              <w:t>pregătirea acestora trebuie demarată încă dinaintea aprobării programului operațional pentru a asigura un portofoliu de proiecte cât mai solid și în timp util pentru a evita orice dezangajare de fonduri.</w:t>
            </w:r>
          </w:p>
        </w:tc>
      </w:tr>
      <w:tr w:rsidR="006449AD" w:rsidRPr="006449AD" w14:paraId="40BEF5BB" w14:textId="77777777" w:rsidTr="006A5A1B">
        <w:tc>
          <w:tcPr>
            <w:tcW w:w="2684" w:type="dxa"/>
          </w:tcPr>
          <w:p w14:paraId="4416184D" w14:textId="3D83568C" w:rsidR="00670C79" w:rsidRPr="006449AD" w:rsidRDefault="00670C79" w:rsidP="006A5A1B">
            <w:pPr>
              <w:pStyle w:val="BodyText2"/>
              <w:rPr>
                <w:sz w:val="24"/>
              </w:rPr>
            </w:pPr>
            <w:r w:rsidRPr="006449AD">
              <w:rPr>
                <w:sz w:val="24"/>
              </w:rPr>
              <w:lastRenderedPageBreak/>
              <w:t>1</w:t>
            </w:r>
            <w:r w:rsidRPr="006449AD">
              <w:rPr>
                <w:sz w:val="24"/>
                <w:vertAlign w:val="superscript"/>
              </w:rPr>
              <w:t>1</w:t>
            </w:r>
            <w:r w:rsidRPr="006449AD">
              <w:rPr>
                <w:sz w:val="24"/>
              </w:rPr>
              <w:t xml:space="preserve">. În cazul proiectelor de acte normative care transpun legislaţie comunitară sau anexa crează cadrul pentru aplicarea directă a </w:t>
            </w:r>
            <w:r w:rsidRPr="006449AD">
              <w:rPr>
                <w:sz w:val="24"/>
              </w:rPr>
              <w:lastRenderedPageBreak/>
              <w:t>acesteia</w:t>
            </w:r>
          </w:p>
        </w:tc>
        <w:tc>
          <w:tcPr>
            <w:tcW w:w="7513" w:type="dxa"/>
          </w:tcPr>
          <w:p w14:paraId="1EAF28DA" w14:textId="77777777" w:rsidR="00670C79" w:rsidRPr="006449AD" w:rsidRDefault="00670C79" w:rsidP="009B71DC">
            <w:pPr>
              <w:spacing w:before="120" w:after="120"/>
              <w:jc w:val="both"/>
              <w:rPr>
                <w:lang w:eastAsia="ro-RO"/>
              </w:rPr>
            </w:pPr>
            <w:r w:rsidRPr="006449AD">
              <w:rPr>
                <w:lang w:eastAsia="ro-RO"/>
              </w:rPr>
              <w:lastRenderedPageBreak/>
              <w:t>Proiectul de act normativ nu se referă la acest subiect.</w:t>
            </w:r>
          </w:p>
        </w:tc>
      </w:tr>
      <w:tr w:rsidR="006449AD" w:rsidRPr="006449AD" w14:paraId="5E9CE6CD" w14:textId="77777777" w:rsidTr="006A5A1B">
        <w:tc>
          <w:tcPr>
            <w:tcW w:w="2684" w:type="dxa"/>
          </w:tcPr>
          <w:p w14:paraId="78E5EC29" w14:textId="77777777" w:rsidR="00670C79" w:rsidRPr="006449AD" w:rsidRDefault="00670C79" w:rsidP="006A5A1B">
            <w:pPr>
              <w:jc w:val="both"/>
            </w:pPr>
            <w:r w:rsidRPr="006449AD">
              <w:lastRenderedPageBreak/>
              <w:t>2.Schimbări preconizate</w:t>
            </w:r>
          </w:p>
        </w:tc>
        <w:tc>
          <w:tcPr>
            <w:tcW w:w="7513" w:type="dxa"/>
          </w:tcPr>
          <w:p w14:paraId="15AA9A05" w14:textId="77777777" w:rsidR="00E44A2E" w:rsidRPr="003C64E8" w:rsidRDefault="00E44A2E" w:rsidP="00E44A2E">
            <w:pPr>
              <w:spacing w:before="120" w:after="120"/>
              <w:contextualSpacing/>
              <w:jc w:val="both"/>
              <w:rPr>
                <w:b/>
              </w:rPr>
            </w:pPr>
            <w:r>
              <w:rPr>
                <w:b/>
                <w:lang w:eastAsia="ro-RO"/>
              </w:rPr>
              <w:t xml:space="preserve">1. </w:t>
            </w:r>
            <w:r w:rsidRPr="00BF2A58">
              <w:rPr>
                <w:b/>
                <w:lang w:eastAsia="ro-RO"/>
              </w:rPr>
              <w:t>Ordonanţa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w:t>
            </w:r>
            <w:r w:rsidRPr="003C64E8">
              <w:rPr>
                <w:b/>
                <w:lang w:eastAsia="ro-RO"/>
              </w:rPr>
              <w:t>rile şi completările ulterioare</w:t>
            </w:r>
            <w:r w:rsidRPr="003C64E8">
              <w:rPr>
                <w:b/>
                <w:lang w:val="en-US"/>
              </w:rPr>
              <w:t>:</w:t>
            </w:r>
            <w:r w:rsidRPr="003C64E8">
              <w:rPr>
                <w:b/>
              </w:rPr>
              <w:t xml:space="preserve"> </w:t>
            </w:r>
          </w:p>
          <w:p w14:paraId="48E04BFA" w14:textId="77777777" w:rsidR="00BF29AC" w:rsidRPr="006449AD" w:rsidRDefault="00670C79" w:rsidP="009B71DC">
            <w:pPr>
              <w:spacing w:before="120" w:after="120"/>
              <w:contextualSpacing/>
              <w:jc w:val="both"/>
            </w:pPr>
            <w:r w:rsidRPr="006449AD">
              <w:t xml:space="preserve">În vederea clarificării rolului structurii de control din cadrul Ministerului Finanțelor Publice, din punctul de vedere al relației dintre aceasta și Autoritatea de Certificare, în procesul de stabilire, respectiv de decizie finală cu privire la cheltuielile care au făcut obiectul verificărilor acestei structuri, și care vor fi incluse în aplicațiile de plată sau vor fi excluse definitiv de la declarare/certificare, a fost completat art. 20, prin introducerea a două alineate noi. Acestea reglementează </w:t>
            </w:r>
            <w:r w:rsidR="008F41E3" w:rsidRPr="006449AD">
              <w:t xml:space="preserve">faptul </w:t>
            </w:r>
            <w:r w:rsidRPr="006449AD">
              <w:t xml:space="preserve">că decizia finală cu privire la declararea/certificarea cheltuielilor, respectiv nedeclararea/necertificarea, după caz, </w:t>
            </w:r>
            <w:r w:rsidR="008F41E3" w:rsidRPr="006449AD">
              <w:t xml:space="preserve">a </w:t>
            </w:r>
            <w:r w:rsidRPr="006449AD">
              <w:t xml:space="preserve">acestora aparține autorității de certificare, ulterior activității de investigare derulată de către structura de control din cadrul Ministerului Finanțelor Publice. Astfel, în cazul în care titlul de creanță emis de structura de control nu confirmă constatările cu implicații financiare din rapoartele de verificare ale autorității de certificare, aceasta poate emite decizia privind neeligibilitatea în temeiul căreia nu va declara/certifica respectivele sume către Comisia Europeană. În acest sens, a fost introdusă în actul normativ, prin completarea art. 2 alin. (1) cu lit. aa) a definiției deciziei privind neeligibilitatea. </w:t>
            </w:r>
          </w:p>
          <w:p w14:paraId="04CD15DF" w14:textId="5FCF9FC4" w:rsidR="00445A50" w:rsidRPr="006449AD" w:rsidRDefault="00670C79" w:rsidP="009B71DC">
            <w:pPr>
              <w:spacing w:before="120" w:after="120"/>
              <w:contextualSpacing/>
              <w:jc w:val="both"/>
            </w:pPr>
            <w:r w:rsidRPr="006449AD">
              <w:t xml:space="preserve">De asemenea, ulterior emiterii titlului de creanță de către structura de control, autoritatea de certificare poate decide să </w:t>
            </w:r>
            <w:r w:rsidR="002B2155" w:rsidRPr="006449AD">
              <w:t>decla</w:t>
            </w:r>
            <w:r w:rsidRPr="006449AD">
              <w:t>re/certifice sumele neconfirmate/confirmate parțial prin titlul de creanță emis de structura de control din cadrul Ministerului Finanțelor Publice sau să țină cont de impactul financiar al ac</w:t>
            </w:r>
            <w:r w:rsidR="00440136" w:rsidRPr="006449AD">
              <w:t>estuia și, astfel, să nu decla</w:t>
            </w:r>
            <w:r w:rsidRPr="006449AD">
              <w:t xml:space="preserve">re/certifice sumele stabilite ca fiind neeligibile; poziția finală a Autorității de Certificare se va reflecta în rapoartele  de verificare a stadiului implementării recomandărilor. </w:t>
            </w:r>
          </w:p>
          <w:p w14:paraId="4ACCAE07" w14:textId="77777777" w:rsidR="00445A50" w:rsidRPr="006449AD" w:rsidRDefault="00445A50" w:rsidP="009B71DC">
            <w:pPr>
              <w:spacing w:before="120" w:after="120"/>
              <w:contextualSpacing/>
              <w:jc w:val="both"/>
            </w:pPr>
            <w:r w:rsidRPr="006449AD">
              <w:t xml:space="preserve">La art. 6 alin. </w:t>
            </w:r>
            <w:r w:rsidR="00332FEB" w:rsidRPr="006449AD">
              <w:t>(</w:t>
            </w:r>
            <w:r w:rsidRPr="006449AD">
              <w:t>3^3</w:t>
            </w:r>
            <w:r w:rsidR="00332FEB" w:rsidRPr="006449AD">
              <w:t>)</w:t>
            </w:r>
            <w:r w:rsidRPr="006449AD">
              <w:t xml:space="preserve"> teza a doua privind enumerarea situaţiilor fără impact financiar în normele de aplicare a fost eliminată, deoarce s-a considerat că acestea nu pot fi apreciate sub aspect limitativ. Având în vedere utilitatea existenței unor liste orientative, este mai potrivit ca eventualele exemple și modalități de interpretare să fie cuprinse într-un îndrumar. </w:t>
            </w:r>
          </w:p>
          <w:p w14:paraId="5C97D9DD" w14:textId="7697F707" w:rsidR="00CE699E" w:rsidRPr="006449AD" w:rsidRDefault="0063758C" w:rsidP="009B71DC">
            <w:pPr>
              <w:spacing w:before="120" w:after="120"/>
              <w:contextualSpacing/>
              <w:jc w:val="both"/>
            </w:pPr>
            <w:r w:rsidRPr="006449AD">
              <w:t xml:space="preserve">O altă modificare vizează </w:t>
            </w:r>
            <w:r w:rsidR="00F26279" w:rsidRPr="006449AD">
              <w:t xml:space="preserve">includerea prevederilor </w:t>
            </w:r>
            <w:r w:rsidR="0060421A" w:rsidRPr="006449AD">
              <w:t>Ghid</w:t>
            </w:r>
            <w:r w:rsidR="00BB5721" w:rsidRPr="006449AD">
              <w:t>ului</w:t>
            </w:r>
            <w:r w:rsidR="0060421A" w:rsidRPr="006449AD">
              <w:t xml:space="preserve"> pentru stabilirea corecțiilor financiare aplicabile cheltuielilor finanțate de Uniunea Europeană pentru nerespectarea normelor aplicabile în materia achizițiilor publice</w:t>
            </w:r>
            <w:r w:rsidR="00CE699E" w:rsidRPr="006449AD">
              <w:t xml:space="preserve">, care modifică ghidul precedent, adoptat </w:t>
            </w:r>
            <w:r w:rsidR="00112E9E" w:rsidRPr="006449AD">
              <w:t>în anul 2013</w:t>
            </w:r>
            <w:r w:rsidR="00911BC0" w:rsidRPr="006449AD">
              <w:t xml:space="preserve"> </w:t>
            </w:r>
            <w:r w:rsidR="00CE699E" w:rsidRPr="006449AD">
              <w:t>la nivelul Comisiei Europene</w:t>
            </w:r>
            <w:r w:rsidR="00F26279" w:rsidRPr="006449AD">
              <w:t xml:space="preserve">. </w:t>
            </w:r>
            <w:r w:rsidR="0096680B" w:rsidRPr="006449AD">
              <w:t>G</w:t>
            </w:r>
            <w:r w:rsidR="0060421A" w:rsidRPr="006449AD">
              <w:t>hid</w:t>
            </w:r>
            <w:r w:rsidR="0096680B" w:rsidRPr="006449AD">
              <w:t xml:space="preserve">ul </w:t>
            </w:r>
            <w:r w:rsidR="00CE699E" w:rsidRPr="006449AD">
              <w:t xml:space="preserve">actual </w:t>
            </w:r>
            <w:r w:rsidR="0096680B" w:rsidRPr="006449AD">
              <w:t>a fost</w:t>
            </w:r>
            <w:r w:rsidR="0060421A" w:rsidRPr="006449AD">
              <w:t xml:space="preserve"> adoptat de Comisia Europeană – Direcția generală pentru politici regionale și urbane, prin Decizia nr. C(2019)3452, </w:t>
            </w:r>
            <w:r w:rsidR="0096680B" w:rsidRPr="006449AD">
              <w:t xml:space="preserve">din </w:t>
            </w:r>
            <w:r w:rsidR="0060421A" w:rsidRPr="006449AD">
              <w:t>data de 14.05.2019</w:t>
            </w:r>
            <w:r w:rsidR="0096680B" w:rsidRPr="006449AD">
              <w:t xml:space="preserve">, </w:t>
            </w:r>
            <w:r w:rsidR="0060421A" w:rsidRPr="006449AD">
              <w:t>publicată pe pagina web a Comisiei Europene și comunicată statelor membre</w:t>
            </w:r>
            <w:r w:rsidR="00164FF3" w:rsidRPr="006449AD">
              <w:t>.</w:t>
            </w:r>
            <w:r w:rsidR="002E7E37" w:rsidRPr="006449AD">
              <w:t xml:space="preserve"> </w:t>
            </w:r>
            <w:r w:rsidR="00BB5721" w:rsidRPr="006449AD">
              <w:t xml:space="preserve">Adoptarea de către Comisia Europeană, </w:t>
            </w:r>
            <w:r w:rsidR="00CE699E" w:rsidRPr="006449AD">
              <w:t>la mijlocul perioadei de programare</w:t>
            </w:r>
            <w:r w:rsidR="006622B7" w:rsidRPr="006449AD">
              <w:t>,</w:t>
            </w:r>
            <w:r w:rsidR="00CE699E" w:rsidRPr="006449AD">
              <w:t xml:space="preserve"> a acestui ghid, </w:t>
            </w:r>
            <w:r w:rsidR="00BB5721" w:rsidRPr="006449AD">
              <w:t xml:space="preserve">care poate </w:t>
            </w:r>
            <w:r w:rsidR="00911BC0" w:rsidRPr="006449AD">
              <w:t xml:space="preserve">avea </w:t>
            </w:r>
            <w:r w:rsidR="00BB5721" w:rsidRPr="006449AD">
              <w:t>un impact financiar important, constituie o situație excepțio</w:t>
            </w:r>
            <w:r w:rsidR="00CE699E" w:rsidRPr="006449AD">
              <w:t>nală deoarece</w:t>
            </w:r>
            <w:r w:rsidR="00BB5721" w:rsidRPr="006449AD">
              <w:t xml:space="preserve"> nu a putut fi prevăzut</w:t>
            </w:r>
            <w:r w:rsidR="00CE699E" w:rsidRPr="006449AD">
              <w:t>ă</w:t>
            </w:r>
            <w:r w:rsidR="00BB5721" w:rsidRPr="006449AD">
              <w:t xml:space="preserve"> de către statele membre, și </w:t>
            </w:r>
            <w:r w:rsidR="00CE699E" w:rsidRPr="006449AD">
              <w:t xml:space="preserve">a fost </w:t>
            </w:r>
            <w:r w:rsidR="00BB5721" w:rsidRPr="006449AD">
              <w:t>independentă de voința autorităților române.</w:t>
            </w:r>
          </w:p>
          <w:p w14:paraId="293D2E37" w14:textId="5803AD46" w:rsidR="0063758C" w:rsidRPr="006449AD" w:rsidRDefault="002E7E37" w:rsidP="009B71DC">
            <w:pPr>
              <w:spacing w:before="120" w:after="120"/>
              <w:contextualSpacing/>
              <w:jc w:val="both"/>
            </w:pPr>
            <w:r w:rsidRPr="006449AD">
              <w:t>Astfel, modificarea propusă prin prezentul act normativ vizează alinierea</w:t>
            </w:r>
            <w:r w:rsidR="0096680B" w:rsidRPr="006449AD">
              <w:t xml:space="preserve"> abaterilor prevăz</w:t>
            </w:r>
            <w:r w:rsidRPr="006449AD">
              <w:t xml:space="preserve">ute în Anexa la OUG nr.66/2011 cu noua legislație privind </w:t>
            </w:r>
            <w:r w:rsidRPr="006449AD">
              <w:lastRenderedPageBreak/>
              <w:t>achizițiile publice.</w:t>
            </w:r>
            <w:r w:rsidR="00CE699E" w:rsidRPr="006449AD">
              <w:t xml:space="preserve"> </w:t>
            </w:r>
          </w:p>
          <w:p w14:paraId="7158A1CB" w14:textId="77777777" w:rsidR="00A33926" w:rsidRPr="006449AD" w:rsidRDefault="00A33926" w:rsidP="009B71DC">
            <w:pPr>
              <w:spacing w:before="120" w:after="120"/>
              <w:jc w:val="both"/>
            </w:pPr>
            <w:r w:rsidRPr="006449AD">
              <w:t>Preluarea ratelor de corecție prevăzute în Decizie se va face prin Hotărâre a Guvernului.</w:t>
            </w:r>
          </w:p>
          <w:p w14:paraId="7043E9C5" w14:textId="31E8B967" w:rsidR="00726D70" w:rsidRPr="006449AD" w:rsidRDefault="008A1CD6" w:rsidP="009B71DC">
            <w:pPr>
              <w:spacing w:before="120" w:after="120"/>
              <w:contextualSpacing/>
              <w:jc w:val="both"/>
            </w:pPr>
            <w:r w:rsidRPr="006449AD">
              <w:t>La nivel național, lista abaterilor de la legislația de achiziții publice utilizată în prezent este cea stabilită prin Anexa la OUG nr. 66/2011 privind prevenirea, constatarea şi sancţionarea neregulilor apărute în obţinerea şi utilizarea fondurilor europene şi/sau a fondurilor publ</w:t>
            </w:r>
            <w:r w:rsidR="00017D04" w:rsidRPr="006449AD">
              <w:t>ice naţionale aferente acestora</w:t>
            </w:r>
            <w:r w:rsidR="00911BC0" w:rsidRPr="006449AD">
              <w:t xml:space="preserve">, </w:t>
            </w:r>
            <w:r w:rsidR="00CE699E" w:rsidRPr="006449AD">
              <w:t>care preia prevederile ghidului pentru stabilirea corecțiilor financiare precedent (adoptat în anul 2013</w:t>
            </w:r>
            <w:r w:rsidR="00112E9E" w:rsidRPr="006449AD">
              <w:t>).</w:t>
            </w:r>
            <w:r w:rsidR="00CE699E" w:rsidRPr="006449AD">
              <w:t xml:space="preserve"> </w:t>
            </w:r>
            <w:r w:rsidRPr="006449AD">
              <w:t xml:space="preserve">Aceasta </w:t>
            </w:r>
            <w:r w:rsidR="00EF5746" w:rsidRPr="006449AD">
              <w:t>este</w:t>
            </w:r>
            <w:r w:rsidRPr="006449AD">
              <w:t xml:space="preserve"> aplicată </w:t>
            </w:r>
            <w:r w:rsidR="006E4FBF" w:rsidRPr="006449AD">
              <w:t xml:space="preserve">în continuare pentru abaterile </w:t>
            </w:r>
            <w:r w:rsidR="00390E31" w:rsidRPr="006449AD">
              <w:t>săvârșite înainte de intrarea în vigoare a prevederilor prezentei ordonanţe în cadrul procedurilor</w:t>
            </w:r>
            <w:r w:rsidR="006622B7" w:rsidRPr="006449AD">
              <w:t xml:space="preserve">/contractelor </w:t>
            </w:r>
            <w:r w:rsidR="00390E31" w:rsidRPr="006449AD">
              <w:t>de achiziție publică/achiziție sectorială/concesiuni de lucrări și servicii</w:t>
            </w:r>
            <w:r w:rsidR="006622B7" w:rsidRPr="006449AD">
              <w:t>,</w:t>
            </w:r>
            <w:r w:rsidR="004248D9" w:rsidRPr="006449AD">
              <w:t xml:space="preserve"> </w:t>
            </w:r>
            <w:r w:rsidR="006E4FBF" w:rsidRPr="006449AD">
              <w:t>iar</w:t>
            </w:r>
            <w:r w:rsidRPr="006449AD">
              <w:t xml:space="preserve"> </w:t>
            </w:r>
            <w:r w:rsidR="008F41E3" w:rsidRPr="006449AD">
              <w:t xml:space="preserve">pentru </w:t>
            </w:r>
            <w:r w:rsidR="004248D9" w:rsidRPr="006449AD">
              <w:t xml:space="preserve">abaterile </w:t>
            </w:r>
            <w:r w:rsidR="00390E31" w:rsidRPr="006449AD">
              <w:t xml:space="preserve">săvârșite ulterior intrării în vigoare </w:t>
            </w:r>
            <w:r w:rsidR="00EF5746" w:rsidRPr="006449AD">
              <w:t>va fi utilizată Anexa 2</w:t>
            </w:r>
            <w:r w:rsidRPr="006449AD">
              <w:t>.</w:t>
            </w:r>
            <w:r w:rsidR="002E7E37" w:rsidRPr="006449AD">
              <w:t xml:space="preserve"> </w:t>
            </w:r>
          </w:p>
          <w:p w14:paraId="085556F8" w14:textId="51FB6ACD" w:rsidR="00CE699E" w:rsidRPr="006449AD" w:rsidRDefault="00CE699E" w:rsidP="009B71DC">
            <w:pPr>
              <w:spacing w:before="120" w:after="120"/>
              <w:contextualSpacing/>
              <w:jc w:val="both"/>
            </w:pPr>
            <w:r w:rsidRPr="006449AD">
              <w:t>În condițiile în care la nivel național sunt aplicabile prevederile ghidului pentru stabilirea c</w:t>
            </w:r>
            <w:r w:rsidR="00911BC0" w:rsidRPr="006449AD">
              <w:t xml:space="preserve">orecțiilor financiare precedent, </w:t>
            </w:r>
            <w:r w:rsidRPr="006449AD">
              <w:t>preluat în legislația națională în anexa la OUG nr.66/2011, există riscul major de diferențe între corecțiile aplicate de către Comisia europeană și cele aplicate de statul membru, această diferență fiind suportată de la bugetul de stat, până la momentul modificării în consecință a cadrului normativ național. Prin urmare, orice întârziere în adoptarea actului normativ este de natură a afecta bugetul de stat.</w:t>
            </w:r>
          </w:p>
          <w:p w14:paraId="6DA5CBE3" w14:textId="4CE35CAD" w:rsidR="00577623" w:rsidRPr="006449AD" w:rsidRDefault="00577623" w:rsidP="009B71DC">
            <w:pPr>
              <w:spacing w:before="120" w:after="120"/>
              <w:contextualSpacing/>
              <w:jc w:val="both"/>
            </w:pPr>
            <w:r w:rsidRPr="006449AD">
              <w:t>Părţile 2 şi 3 ale anexei</w:t>
            </w:r>
            <w:r w:rsidR="00E44A2E">
              <w:t xml:space="preserve"> nr.</w:t>
            </w:r>
            <w:r w:rsidRPr="006449AD">
              <w:t xml:space="preserve"> 1 privind contractele încheiate de beneficiarii privaţi nu se modifică. </w:t>
            </w:r>
          </w:p>
          <w:p w14:paraId="786C22AC" w14:textId="35390942" w:rsidR="00696435" w:rsidRPr="006449AD" w:rsidRDefault="00DD0632" w:rsidP="009B71DC">
            <w:pPr>
              <w:spacing w:before="120" w:after="120"/>
              <w:contextualSpacing/>
              <w:jc w:val="both"/>
            </w:pPr>
            <w:r w:rsidRPr="006449AD">
              <w:t>La stabilirea</w:t>
            </w:r>
            <w:r w:rsidR="008B2AA3" w:rsidRPr="006449AD">
              <w:t xml:space="preserve"> aplicabilit</w:t>
            </w:r>
            <w:r w:rsidRPr="006449AD">
              <w:t>ății</w:t>
            </w:r>
            <w:r w:rsidR="008B2AA3" w:rsidRPr="006449AD">
              <w:t xml:space="preserve"> prevederilor Anexei nr. 2, </w:t>
            </w:r>
            <w:r w:rsidR="00F06D25" w:rsidRPr="006449AD">
              <w:t>a fost luată</w:t>
            </w:r>
            <w:r w:rsidR="008B2AA3" w:rsidRPr="006449AD">
              <w:t xml:space="preserve"> în considerare </w:t>
            </w:r>
            <w:r w:rsidR="00907A95" w:rsidRPr="006449AD">
              <w:t>Decizia Curţii Constituţionale nr. 66/2015</w:t>
            </w:r>
            <w:r w:rsidR="00FB5FAE" w:rsidRPr="006449AD">
              <w:t xml:space="preserve"> </w:t>
            </w:r>
            <w:r w:rsidR="008F32CD" w:rsidRPr="006449AD">
              <w:t xml:space="preserve">prin care s-a stabilit că în privinţa activităţilor de constatare a neregulilor ce reprezintă activităţile de control desfășurate de autorităţile competente, în vederea stabilirii existenţei unei nereguli, se aplică </w:t>
            </w:r>
            <w:r w:rsidR="008F32CD" w:rsidRPr="006449AD">
              <w:rPr>
                <w:lang w:val="en-US"/>
              </w:rPr>
              <w:t>“</w:t>
            </w:r>
            <w:r w:rsidR="008F32CD" w:rsidRPr="006449AD">
              <w:t>reguli de drept substanţiale specifice”, astfel încât, optând pentru un asemenea criteriu, legiuitorul a încălcat principiul neretroactivităţii legii, întrucât raportul juridic nu mai este guvernat de legea în vigoare la data naşterii sale, ci de o lege ulterioară străină acestuia.</w:t>
            </w:r>
            <w:r w:rsidR="00907A95" w:rsidRPr="006449AD">
              <w:t xml:space="preserve"> </w:t>
            </w:r>
          </w:p>
          <w:p w14:paraId="677B2747" w14:textId="77777777" w:rsidR="003605E7" w:rsidRPr="006449AD" w:rsidRDefault="00696435" w:rsidP="009B71DC">
            <w:pPr>
              <w:spacing w:before="120" w:after="120"/>
              <w:contextualSpacing/>
              <w:jc w:val="both"/>
            </w:pPr>
            <w:r w:rsidRPr="006449AD">
              <w:t>Este de menționat și faptul că noile abateri în domeniul achizițiilor/concesiunilor nu se mai pot încadra “expressis verbis” în abaterile din anexa actuală, existând fie abateri la care se renunță</w:t>
            </w:r>
            <w:r w:rsidR="003605E7" w:rsidRPr="006449AD">
              <w:t>,</w:t>
            </w:r>
            <w:r w:rsidRPr="006449AD">
              <w:t xml:space="preserve"> fie abateri noi, fie diferențe de terminologie, fie diferențe de circumstanțe în care se poate aplica sau nu o anumită procedură de achiziție/concesiune.</w:t>
            </w:r>
          </w:p>
          <w:p w14:paraId="382A6D50" w14:textId="09F9A1D0" w:rsidR="00966D02" w:rsidRPr="006449AD" w:rsidRDefault="003605E7" w:rsidP="009B71DC">
            <w:pPr>
              <w:spacing w:before="120" w:after="120"/>
              <w:jc w:val="both"/>
            </w:pPr>
            <w:r w:rsidRPr="006449AD">
              <w:t>Astfel, reglementarea este necesară pentru a asigura corelarea dintre tipurile de abateri, respectiv sancțiuni care vor fi constatate/aplicate de către CE în raport cu statul membru începând cu data intrării în vigoare a Deciziei CE și abaterile/sancțiunile constatate/aplicate de către autoritățile naționale beneficiarilor de fonduri europene. În acest fel, este eliminat riscul aplicării unor niveluri de corecție diferită de către CE, potrivit Deciziei, respectiv de statul membru, potrivit cadrului normativ aplicabil, fapt ce ar genera consecințe asupra bugetului de stat în cazul suportării de la acesta a sumelor reprezentând aceste diferențe.</w:t>
            </w:r>
            <w:r w:rsidR="00FB5FAE" w:rsidRPr="006449AD">
              <w:t xml:space="preserve"> </w:t>
            </w:r>
            <w:r w:rsidR="00E44A2E" w:rsidRPr="009B71DC">
              <w:t xml:space="preserve">Totodată, au fost modificate articolele pentru introducerea noii anexe, a fost înlocuit </w:t>
            </w:r>
            <w:r w:rsidR="00E44A2E">
              <w:t>termenul</w:t>
            </w:r>
            <w:r w:rsidR="00E44A2E" w:rsidRPr="009B71DC">
              <w:t xml:space="preserve"> </w:t>
            </w:r>
            <w:r w:rsidR="00E44A2E">
              <w:t>„</w:t>
            </w:r>
            <w:r w:rsidR="00E44A2E" w:rsidRPr="009B71DC">
              <w:rPr>
                <w:i/>
              </w:rPr>
              <w:t>comunitare</w:t>
            </w:r>
            <w:r w:rsidR="00E44A2E">
              <w:rPr>
                <w:i/>
              </w:rPr>
              <w:t>”</w:t>
            </w:r>
            <w:r w:rsidR="00E44A2E" w:rsidRPr="009B71DC">
              <w:t xml:space="preserve"> cu </w:t>
            </w:r>
            <w:r w:rsidR="00E44A2E">
              <w:t>„</w:t>
            </w:r>
            <w:r w:rsidR="00E44A2E" w:rsidRPr="009B71DC">
              <w:rPr>
                <w:i/>
              </w:rPr>
              <w:t>europene</w:t>
            </w:r>
            <w:r w:rsidR="00E44A2E">
              <w:rPr>
                <w:i/>
              </w:rPr>
              <w:t xml:space="preserve">” </w:t>
            </w:r>
            <w:r w:rsidR="00EF2A2C" w:rsidRPr="006449AD">
              <w:t>şi c</w:t>
            </w:r>
            <w:r w:rsidR="00966D02" w:rsidRPr="006449AD">
              <w:t xml:space="preserve">a urmare a modificărilor cadrului legal aplicabil achizițiilor publice </w:t>
            </w:r>
            <w:r w:rsidR="00EF2A2C" w:rsidRPr="006449AD">
              <w:t>a fost</w:t>
            </w:r>
            <w:r w:rsidR="00966D02" w:rsidRPr="006449AD">
              <w:t xml:space="preserve"> introdu</w:t>
            </w:r>
            <w:r w:rsidR="00EF2A2C" w:rsidRPr="006449AD">
              <w:t>să</w:t>
            </w:r>
            <w:r w:rsidR="00966D02" w:rsidRPr="006449AD">
              <w:t xml:space="preserve"> trimiter</w:t>
            </w:r>
            <w:r w:rsidR="00EF2A2C" w:rsidRPr="006449AD">
              <w:t>ea</w:t>
            </w:r>
            <w:r w:rsidR="00966D02" w:rsidRPr="006449AD">
              <w:t xml:space="preserve"> la Legea nr. 98/2016 </w:t>
            </w:r>
            <w:r w:rsidR="00966D02" w:rsidRPr="006449AD">
              <w:lastRenderedPageBreak/>
              <w:t xml:space="preserve">în textul </w:t>
            </w:r>
            <w:r w:rsidR="00EF2A2C" w:rsidRPr="006449AD">
              <w:t>ordonanţei</w:t>
            </w:r>
            <w:r w:rsidR="00DB6D2A" w:rsidRPr="006449AD">
              <w:t xml:space="preserve"> de urgență</w:t>
            </w:r>
            <w:r w:rsidR="00FB5FAE" w:rsidRPr="006449AD">
              <w:t>.</w:t>
            </w:r>
          </w:p>
          <w:p w14:paraId="18D5B919" w14:textId="0AE350FE" w:rsidR="00533E19" w:rsidRPr="006449AD" w:rsidRDefault="00533E19" w:rsidP="009B71DC">
            <w:pPr>
              <w:spacing w:before="120" w:after="120"/>
              <w:jc w:val="both"/>
            </w:pPr>
            <w:r w:rsidRPr="006449AD">
              <w:t>Având în ved</w:t>
            </w:r>
            <w:r w:rsidR="00FB5FAE" w:rsidRPr="006449AD">
              <w:t>e</w:t>
            </w:r>
            <w:r w:rsidRPr="006449AD">
              <w:t>re prevederile Ordonanţei de urgență a Guvernului nr. 66/2011, care stabilesc cadrul pentru autoritățile de management de a emite titlurile de creanță în situația săvârșirii abaterilor de la nerespectarea normelor în materie de achiziții, nepreluarea modificărilor introduse la nivel europe</w:t>
            </w:r>
            <w:r w:rsidR="00BA47F0" w:rsidRPr="006449AD">
              <w:t>a</w:t>
            </w:r>
            <w:r w:rsidRPr="006449AD">
              <w:t>n referitoare la tipurile de abateri este de natură să genereze diferențe din ce în ce mai mari între corecțiile aplicate de către CE în raport cu statul membru pe de o parte, respectiv de către autoritățile naționale în raport cu beneficiarii, pe de altă parte.</w:t>
            </w:r>
          </w:p>
          <w:p w14:paraId="5A2AB365" w14:textId="4837A42D" w:rsidR="00533E19" w:rsidRPr="006449AD" w:rsidRDefault="00FB5FAE" w:rsidP="009B71DC">
            <w:pPr>
              <w:spacing w:before="120" w:after="120"/>
              <w:jc w:val="both"/>
            </w:pPr>
            <w:r w:rsidRPr="006449AD">
              <w:t>Aceste diferen</w:t>
            </w:r>
            <w:r w:rsidR="00533E19" w:rsidRPr="006449AD">
              <w:t>țe dintre cele două tipuri de corecții vor trebui suportate de la bugetul de stat.</w:t>
            </w:r>
          </w:p>
          <w:p w14:paraId="7F65B234" w14:textId="1CDAEA9A" w:rsidR="008E14AF" w:rsidRPr="006449AD" w:rsidRDefault="008E14AF" w:rsidP="009B71DC">
            <w:pPr>
              <w:spacing w:before="120" w:after="120"/>
              <w:jc w:val="both"/>
            </w:pPr>
            <w:r w:rsidRPr="006449AD">
              <w:t>Neadoptarea proiectului de act normativ, în condiți</w:t>
            </w:r>
            <w:r w:rsidR="00723BA7" w:rsidRPr="006449AD">
              <w:t>i</w:t>
            </w:r>
            <w:r w:rsidRPr="006449AD">
              <w:t xml:space="preserve">le modificării regulilor </w:t>
            </w:r>
            <w:r w:rsidR="00723BA7" w:rsidRPr="006449AD">
              <w:t xml:space="preserve">europene </w:t>
            </w:r>
            <w:r w:rsidRPr="006449AD">
              <w:t>la mijlocul perioadei de programare</w:t>
            </w:r>
            <w:r w:rsidR="00723BA7" w:rsidRPr="006449AD">
              <w:t xml:space="preserve">, </w:t>
            </w:r>
            <w:r w:rsidRPr="006449AD">
              <w:t xml:space="preserve">cu aplicare imediată de către </w:t>
            </w:r>
            <w:r w:rsidR="00723BA7" w:rsidRPr="006449AD">
              <w:t>Comisia europeană</w:t>
            </w:r>
            <w:r w:rsidRPr="006449AD">
              <w:t xml:space="preserve"> în cadrul auditurilor desfășurate în statele membre</w:t>
            </w:r>
            <w:r w:rsidR="00723BA7" w:rsidRPr="006449AD">
              <w:t>,</w:t>
            </w:r>
            <w:r w:rsidRPr="006449AD">
              <w:t xml:space="preserve"> </w:t>
            </w:r>
            <w:r w:rsidR="008F32CD" w:rsidRPr="006449AD">
              <w:t xml:space="preserve">are </w:t>
            </w:r>
            <w:r w:rsidRPr="006449AD">
              <w:t xml:space="preserve"> drept consecință negativă imposibilitatea autorităților de management de a aplica noile reguli,</w:t>
            </w:r>
            <w:r w:rsidR="00723BA7" w:rsidRPr="006449AD">
              <w:t xml:space="preserve"> </w:t>
            </w:r>
            <w:r w:rsidR="008F32CD" w:rsidRPr="006449AD">
              <w:t xml:space="preserve">fapt ce generează diferenţe </w:t>
            </w:r>
            <w:r w:rsidRPr="006449AD">
              <w:t>în</w:t>
            </w:r>
            <w:r w:rsidR="00723BA7" w:rsidRPr="006449AD">
              <w:t>tre corecțiile aplicate de Comisia europeană și</w:t>
            </w:r>
            <w:r w:rsidRPr="006449AD">
              <w:t xml:space="preserve"> </w:t>
            </w:r>
            <w:r w:rsidR="00723BA7" w:rsidRPr="006449AD">
              <w:t xml:space="preserve">cele aplicate de statul membru </w:t>
            </w:r>
            <w:r w:rsidR="008F32CD" w:rsidRPr="006449AD">
              <w:t xml:space="preserve">reprezentând cheltuieli definitive pentru bugetul de stat. </w:t>
            </w:r>
          </w:p>
          <w:p w14:paraId="43E0B96E" w14:textId="0C2E7554" w:rsidR="00533E19" w:rsidRPr="006449AD" w:rsidRDefault="00533E19" w:rsidP="009B71DC">
            <w:pPr>
              <w:spacing w:before="120" w:after="120"/>
              <w:jc w:val="both"/>
            </w:pPr>
            <w:r w:rsidRPr="006449AD">
              <w:t>Totodată măsura de clarificare a rolului structurii de control din cadrul Ministerului Finanțelor Publice, a fost solicitată de către Comisia Europeană a se r</w:t>
            </w:r>
            <w:r w:rsidR="006622B7" w:rsidRPr="006449AD">
              <w:t>ealiza cu celeritate, orice întâ</w:t>
            </w:r>
            <w:r w:rsidRPr="006449AD">
              <w:t>rziere în implementarea acesteia putând con</w:t>
            </w:r>
            <w:r w:rsidR="006622B7" w:rsidRPr="006449AD">
              <w:t>duce la blocarea cererilor de p</w:t>
            </w:r>
            <w:r w:rsidRPr="006449AD">
              <w:t>l</w:t>
            </w:r>
            <w:r w:rsidR="006622B7" w:rsidRPr="006449AD">
              <w:t>a</w:t>
            </w:r>
            <w:r w:rsidRPr="006449AD">
              <w:t>tă către Comisia Europeană, înainte de sfârșitul anului 2019.</w:t>
            </w:r>
          </w:p>
          <w:p w14:paraId="1FE0A585" w14:textId="77777777" w:rsidR="00275947" w:rsidRDefault="00275947" w:rsidP="009B71DC">
            <w:pPr>
              <w:spacing w:before="120" w:after="120"/>
              <w:jc w:val="both"/>
              <w:rPr>
                <w:lang w:val="en-US"/>
              </w:rPr>
            </w:pPr>
            <w:r>
              <w:rPr>
                <w:rFonts w:eastAsia="Calibri"/>
                <w:b/>
                <w:bCs/>
              </w:rPr>
              <w:t xml:space="preserve">2. </w:t>
            </w:r>
            <w:r w:rsidRPr="007A4903">
              <w:rPr>
                <w:rFonts w:eastAsia="Calibri"/>
                <w:b/>
                <w:bCs/>
              </w:rPr>
              <w:t>Ordonanţa de urgenţă a Guvernului nr. 40/2015 privind gestionarea financiară a fondurilor europene pentru perioada de programare 2014-2020, aprobată cu modificări și completări prin Legea nr. 105/2016, cu modifică</w:t>
            </w:r>
            <w:r>
              <w:rPr>
                <w:rFonts w:eastAsia="Calibri"/>
                <w:b/>
                <w:bCs/>
              </w:rPr>
              <w:t>rile şi completările ulterioare</w:t>
            </w:r>
            <w:r>
              <w:rPr>
                <w:lang w:val="en-US"/>
              </w:rPr>
              <w:t>:</w:t>
            </w:r>
          </w:p>
          <w:p w14:paraId="26E1FA2B" w14:textId="7BC71795" w:rsidR="00CD681E" w:rsidRPr="006449AD" w:rsidRDefault="00CD681E" w:rsidP="009B71DC">
            <w:pPr>
              <w:spacing w:before="120" w:after="120"/>
              <w:jc w:val="both"/>
            </w:pPr>
            <w:r w:rsidRPr="006449AD">
              <w:t xml:space="preserve">Este </w:t>
            </w:r>
            <w:r w:rsidR="00322480" w:rsidRPr="006449AD">
              <w:t xml:space="preserve">necesară înlocuirea sintagmei ”proiectele de investiții de infrastructură de transport” de la art. 6 alin. (2) </w:t>
            </w:r>
            <w:r w:rsidRPr="006449AD">
              <w:t>cu sintagma ”proiecte din domeniul transporturilor”  deoarece nu toate proiectele finanțate în cadrul POIM sunt infrastructură de transport (ex. achiziția de remorchere).</w:t>
            </w:r>
          </w:p>
          <w:p w14:paraId="46470436" w14:textId="7001979B" w:rsidR="00CD681E" w:rsidRPr="006449AD" w:rsidRDefault="00CD681E" w:rsidP="009B71DC">
            <w:pPr>
              <w:spacing w:before="120" w:after="120"/>
              <w:jc w:val="both"/>
            </w:pPr>
            <w:r w:rsidRPr="006449AD">
              <w:t>Pentru a permite onorarea angajamentelor financiare asumate prin semnarea de contracte/decizii de finanțare peste limitele alocate la nivel de program pentru proiectele care nu sunt finalizate și se încadrează în condițiile de eligibilitate prevăzute pentru exercițiul financiar 2021-2027 este necesară introducerea la art. 9 a literei d</w:t>
            </w:r>
            <w:r w:rsidRPr="006449AD">
              <w:rPr>
                <w:vertAlign w:val="superscript"/>
              </w:rPr>
              <w:t>1</w:t>
            </w:r>
            <w:r w:rsidRPr="006449AD">
              <w:t>).</w:t>
            </w:r>
          </w:p>
          <w:p w14:paraId="2D795520" w14:textId="6A92AA52" w:rsidR="00CD681E" w:rsidRPr="006449AD" w:rsidRDefault="00213BDB" w:rsidP="009B71DC">
            <w:pPr>
              <w:spacing w:before="120" w:after="120"/>
              <w:jc w:val="both"/>
            </w:pPr>
            <w:r w:rsidRPr="006449AD">
              <w:t>Modificarea literei k) a a</w:t>
            </w:r>
            <w:r w:rsidR="00CD681E" w:rsidRPr="006449AD">
              <w:t xml:space="preserve">rt. 9, </w:t>
            </w:r>
            <w:r w:rsidRPr="006449AD">
              <w:t xml:space="preserve">reglementează </w:t>
            </w:r>
            <w:r w:rsidR="00CD681E" w:rsidRPr="006449AD">
              <w:t xml:space="preserve">situațiile în care există hotărâri judecătoreşti definitive în favoarea solicitanților de finanțare care ar fi fost îndreptățiți să semneze contracte de finanțare. </w:t>
            </w:r>
          </w:p>
          <w:p w14:paraId="22C3675F" w14:textId="77777777" w:rsidR="00CD681E" w:rsidRPr="006449AD" w:rsidRDefault="00CD681E" w:rsidP="009B71DC">
            <w:pPr>
              <w:spacing w:before="120" w:after="120"/>
              <w:jc w:val="both"/>
            </w:pPr>
            <w:r w:rsidRPr="006449AD">
              <w:t xml:space="preserve">Prin introducerea literei ș) la articolul 9 se reglementează includerea în bugetul AM a unor sume care să poată fi transferate în conturile beneficiarilor în situația în care există recomandări cu impact financiar din rapoarte de audit AA/CE/ECA care nu sunt acceptate de autoritățile de management, sau, în situația emiterii de către COM a unei decizii de aplicare a unor corecții financiare, care este a fost contestată la Curtea de </w:t>
            </w:r>
            <w:r w:rsidRPr="006449AD">
              <w:lastRenderedPageBreak/>
              <w:t>Justiție a UE.</w:t>
            </w:r>
          </w:p>
          <w:p w14:paraId="3D616A93" w14:textId="77777777" w:rsidR="00CD681E" w:rsidRPr="006449AD" w:rsidRDefault="00CD681E" w:rsidP="009B71DC">
            <w:pPr>
              <w:spacing w:before="120" w:after="120"/>
              <w:jc w:val="both"/>
            </w:pPr>
            <w:r w:rsidRPr="006449AD">
              <w:t>Totodată, prin introducerea literei t) la articolul 9 se asigură baza legală pentru cuprinderea sumelor în bugetul autorității de management pentru asigurarea fondurilor necesare acoperirii ratei forfetare de 6%.</w:t>
            </w:r>
          </w:p>
          <w:p w14:paraId="5D4252AE" w14:textId="77777777" w:rsidR="00CD681E" w:rsidRPr="006449AD" w:rsidRDefault="00CD681E" w:rsidP="009B71DC">
            <w:pPr>
              <w:spacing w:before="120" w:after="120"/>
              <w:jc w:val="both"/>
            </w:pPr>
            <w:r w:rsidRPr="006449AD">
              <w:t>Având în vedere modificările legislative apărute, ca urmare adoptării OUG nr. 114/2018 privind instituirea unor măsuri în domeniul investiţiilor publice şi a unor măsuri fiscal-bugetare, modificarea şi completarea unor acte normative şi prorogarea unor termene, este necesară ajustarea prețurilor în cadrul devizelor generale aferente contractelor de investiții pentru a putea asigura o implementare adecvată a contractelor de infrastructură finanțate din fonduri europene. Astfel, se propune introducerea alin. (2</w:t>
            </w:r>
            <w:r w:rsidRPr="006449AD">
              <w:rPr>
                <w:vertAlign w:val="superscript"/>
              </w:rPr>
              <w:t>2</w:t>
            </w:r>
            <w:r w:rsidRPr="006449AD">
              <w:t>) la art. 12.</w:t>
            </w:r>
          </w:p>
          <w:p w14:paraId="546ACFC6" w14:textId="6324C03E" w:rsidR="00CD681E" w:rsidRPr="006449AD" w:rsidRDefault="00CD681E" w:rsidP="009B71DC">
            <w:pPr>
              <w:spacing w:before="120" w:after="120"/>
              <w:jc w:val="both"/>
            </w:pPr>
            <w:r w:rsidRPr="006449AD">
              <w:t>Modificările propuse la art. 15, alin. (4) și (4</w:t>
            </w:r>
            <w:r w:rsidRPr="006449AD">
              <w:rPr>
                <w:vertAlign w:val="superscript"/>
              </w:rPr>
              <w:t>1</w:t>
            </w:r>
            <w:r w:rsidRPr="006449AD">
              <w:t>) clarifică faptul că, în termenul de 90 de zile calendaristice, beneficiarul/</w:t>
            </w:r>
            <w:r w:rsidR="00213BDB" w:rsidRPr="006449AD">
              <w:t>l</w:t>
            </w:r>
            <w:r w:rsidRPr="006449AD">
              <w:t>iderul de parteneriat poate depune una sau mai multe cereri de rambursare care să cuprindă cumulat cheltuielile efectuate din tranşa de prefinanţare acordată, în cuantum de minimum 50% din valoarea acesteia.</w:t>
            </w:r>
          </w:p>
          <w:p w14:paraId="3D6260C8" w14:textId="4D9B3CB6" w:rsidR="00542411" w:rsidRPr="006449AD" w:rsidRDefault="00FD0D95" w:rsidP="009B71DC">
            <w:pPr>
              <w:spacing w:before="120" w:after="120"/>
              <w:jc w:val="both"/>
              <w:rPr>
                <w:lang w:val="en-US"/>
              </w:rPr>
            </w:pPr>
            <w:r w:rsidRPr="006449AD">
              <w:t>S</w:t>
            </w:r>
            <w:r w:rsidR="00CD681E" w:rsidRPr="006449AD">
              <w:t>e propune introducerea articolului 15</w:t>
            </w:r>
            <w:r w:rsidR="00CD681E" w:rsidRPr="006449AD">
              <w:rPr>
                <w:vertAlign w:val="superscript"/>
              </w:rPr>
              <w:t>2</w:t>
            </w:r>
            <w:r w:rsidR="00CD681E" w:rsidRPr="006449AD">
              <w:t xml:space="preserve"> prin care se reglementează mecanismul alternativ de prefinanțare aferent Programului Operațional Capital Uman și corelarea acestuia cu mecanismul cererii de plată la art. 20 alin. (2).</w:t>
            </w:r>
            <w:r w:rsidR="00E541DB" w:rsidRPr="006449AD">
              <w:t xml:space="preserve"> Având în vedere că pentru a implementa noul mecanism de prefinanțare, propus în cadrul POCU, este necesară actualizarea soldului conturilor la nivelul beneficiarilor/liderilor de parteneriat/partenerilor și este necesară informarea acestora cu privire la aplicarea noului mecanism, se propune aplicarea acestui mecanism începând cu 01.01.2020.</w:t>
            </w:r>
          </w:p>
          <w:p w14:paraId="2DE2F4C1" w14:textId="7EC71AB9" w:rsidR="00CD681E" w:rsidRPr="006449AD" w:rsidRDefault="00CD681E" w:rsidP="009B71DC">
            <w:pPr>
              <w:spacing w:before="120" w:after="120"/>
              <w:jc w:val="both"/>
            </w:pPr>
            <w:r w:rsidRPr="006449AD">
              <w:t>Introducerea art. 18</w:t>
            </w:r>
            <w:r w:rsidRPr="006449AD">
              <w:rPr>
                <w:vertAlign w:val="superscript"/>
              </w:rPr>
              <w:t>1</w:t>
            </w:r>
            <w:r w:rsidRPr="006449AD">
              <w:t xml:space="preserve"> vizează reglementarea aplicării unei rate forfetare din veniturile nete, pentru proiectele generatoare de venit din sectorul de apă și apă uzată, în vederea urgentării aprobării acestor proiecte și demararea investițiilor la nivel național (în cadrul POIM), măsura fiind agreată de Ministerul Fondurilor Europene (MFE) cu serviciile Comisiei Europene.</w:t>
            </w:r>
          </w:p>
          <w:p w14:paraId="76D46CCC" w14:textId="77777777" w:rsidR="00CD681E" w:rsidRPr="006449AD" w:rsidRDefault="00CD681E" w:rsidP="009B71DC">
            <w:pPr>
              <w:spacing w:before="120" w:after="120"/>
              <w:jc w:val="both"/>
            </w:pPr>
            <w:r w:rsidRPr="006449AD">
              <w:t>Rata forfetară propusă este de 6% din totalul costurilor eligibile, estimată cu luarea în calcul a analizei evoluțiilor din sector, a gradului de suportabilitate a populației, a nivelului de îndatorare aferent investițiilor realizate sau în curs de realizare. Metodologia care fundamentează stabilirea acestei rate forfetare a fost aprobată de Autoritatea de Audit și a fost transmisă Comisiei Europene, conform cerințelor din Regulamentul (UE) nr. 1303/2013.</w:t>
            </w:r>
          </w:p>
          <w:p w14:paraId="4E5EC266" w14:textId="77777777" w:rsidR="00CD681E" w:rsidRPr="006449AD" w:rsidRDefault="00CD681E" w:rsidP="009B71DC">
            <w:pPr>
              <w:spacing w:before="120" w:after="120"/>
              <w:jc w:val="both"/>
            </w:pPr>
            <w:r w:rsidRPr="006449AD">
              <w:t xml:space="preserve">Urmare analizei realizată la nivelul MFE – AM POIM, rezultă că impactul total al aplicării ratei forfetare de 6% pentru proiectele de investiții de apă și apă uzată cuprinse în portofoliul POIM (în valoare de 8,79 miliarde de euro) însumează aproximativ </w:t>
            </w:r>
            <w:r w:rsidRPr="006449AD">
              <w:rPr>
                <w:b/>
              </w:rPr>
              <w:t>550 milioane de Euro</w:t>
            </w:r>
            <w:r w:rsidRPr="006449AD">
              <w:t xml:space="preserve">. Având în vedere progresul înregistrat și estimările de implementare din sectorul de apă și apă uzată, necesarul de finanțare pentru a acoperi contribuția de 6% este de maxim 250 milioane de euro, care nu poate fi asigurat de către beneficiarii proiectelor, respectiv operatorii regionali. </w:t>
            </w:r>
          </w:p>
          <w:p w14:paraId="2454994D" w14:textId="77777777" w:rsidR="00CD681E" w:rsidRPr="006449AD" w:rsidRDefault="00CD681E" w:rsidP="009B71DC">
            <w:pPr>
              <w:spacing w:before="120" w:after="120"/>
              <w:jc w:val="both"/>
            </w:pPr>
            <w:r w:rsidRPr="006449AD">
              <w:t xml:space="preserve">Astfel, pentru a debloca promovarea proiectelor, cu impact atât în creșterea </w:t>
            </w:r>
            <w:r w:rsidRPr="006449AD">
              <w:lastRenderedPageBreak/>
              <w:t xml:space="preserve">gradului de absorbție și îndeplinirea indicatorilor de program, cât și în creșterea gradului de conformare și reducere a penalităților aferente unui potențial infringement, Ministerul Fondurilor Europene și Ministerul Finanțelor Publice au agreat finanțarea ratei forfetare de 6% pentru proiectele POIM de apă și apă uzată de la bugetul de stat, cu rambursarea ulterioară a datoriei publice guvernamentale printr-un împrumut de tip Structural Programme Loan acordat de Banca Europeană de Investiții. </w:t>
            </w:r>
          </w:p>
          <w:p w14:paraId="5C89D512" w14:textId="7150BEFF" w:rsidR="00CD681E" w:rsidRPr="006449AD" w:rsidRDefault="00CD681E" w:rsidP="009B71DC">
            <w:pPr>
              <w:spacing w:before="120" w:after="120"/>
              <w:jc w:val="both"/>
            </w:pPr>
            <w:r w:rsidRPr="006449AD">
              <w:t xml:space="preserve">Modalitatea de recuperare a sumelor astfel alocate de la bugetul de stat va fi reglementată ulterior prin normele de aplicare a Ordonanței, în baza unei analize detaliate a capacității de rambursare a operatorilor. </w:t>
            </w:r>
          </w:p>
          <w:p w14:paraId="3CB099B6" w14:textId="02672FAC" w:rsidR="0057730A" w:rsidRPr="006449AD" w:rsidRDefault="0057730A" w:rsidP="009B71DC">
            <w:pPr>
              <w:spacing w:before="120" w:after="120"/>
              <w:jc w:val="both"/>
            </w:pPr>
            <w:r w:rsidRPr="006449AD">
              <w:t xml:space="preserve">Introducerea </w:t>
            </w:r>
            <w:r w:rsidRPr="006449AD">
              <w:rPr>
                <w:i/>
              </w:rPr>
              <w:t>Capitolul VIII</w:t>
            </w:r>
            <w:r w:rsidRPr="006449AD">
              <w:rPr>
                <w:i/>
                <w:vertAlign w:val="superscript"/>
              </w:rPr>
              <w:t>1</w:t>
            </w:r>
            <w:r w:rsidRPr="006449AD">
              <w:rPr>
                <w:i/>
              </w:rPr>
              <w:t xml:space="preserve"> Decizia de reziliere a contractului de finanțare </w:t>
            </w:r>
            <w:r w:rsidRPr="006449AD">
              <w:t>la OUG nr. 40/2015 cu prevederi referitoare la recuperarea prin alte titluri de creanță, se diminuează termenul de obținere a eșalonării la plată a sumelor stabilite prin decizia de reziliere a contractului de finanțare, emise de către autoritățile de management.</w:t>
            </w:r>
          </w:p>
          <w:p w14:paraId="5E05BCD2" w14:textId="77777777" w:rsidR="0057730A" w:rsidRPr="006449AD" w:rsidRDefault="0057730A" w:rsidP="009B71DC">
            <w:pPr>
              <w:spacing w:before="120" w:after="120"/>
              <w:jc w:val="both"/>
            </w:pPr>
            <w:r w:rsidRPr="006449AD">
              <w:t xml:space="preserve">Reducerea termenului de obținere a certificatului de atestare contribuie la o gestionare mai eficientă a fondurilor europene și a fondurilor de cofinanțare de la bugetul de stat atât de la nivelul beneficiarilor cât și de la nivelul Autorităților de management, deoarece în baza certificatului fiscal eliberat de ANAF, beneficiarii au posibilitatea de a depune spre contractare proiecte.  </w:t>
            </w:r>
          </w:p>
          <w:p w14:paraId="1D29BF19" w14:textId="77777777" w:rsidR="0057730A" w:rsidRPr="006449AD" w:rsidRDefault="0057730A" w:rsidP="009B71DC">
            <w:pPr>
              <w:spacing w:before="120" w:after="120"/>
              <w:jc w:val="both"/>
            </w:pPr>
            <w:r w:rsidRPr="006449AD">
              <w:t xml:space="preserve">În vederea contractării de proiecte este imperios necesară obținerea eșalonării la plată a debitelor stabilite prin decizia de reziliere a contractului de finanțare, emisă de către autoritățile de management. </w:t>
            </w:r>
          </w:p>
          <w:p w14:paraId="3E2C84DA" w14:textId="77777777" w:rsidR="0057730A" w:rsidRPr="006449AD" w:rsidRDefault="0057730A" w:rsidP="009B71DC">
            <w:pPr>
              <w:spacing w:before="120" w:after="120"/>
              <w:jc w:val="both"/>
              <w:rPr>
                <w:b/>
              </w:rPr>
            </w:pPr>
            <w:r w:rsidRPr="006449AD">
              <w:t>Propunerea de a introduce un nou articol, art. 37, este necesară pentru a se reglementa reîntregirea bugetelor din care au fost inițiate cheltuielile întrucât sunt companii care având finanțare mixtă au inițiat cheltuieli din fonduri proprii, iar prin rambursarea cheltuielilor acestea reîntregeau doar bugetul de stat.</w:t>
            </w:r>
          </w:p>
          <w:p w14:paraId="2BF44D74" w14:textId="77777777" w:rsidR="00275947" w:rsidRPr="009B71DC" w:rsidRDefault="00275947" w:rsidP="00275947">
            <w:pPr>
              <w:spacing w:before="120" w:after="120"/>
              <w:jc w:val="both"/>
              <w:rPr>
                <w:rFonts w:eastAsia="Calibri"/>
                <w:bCs/>
                <w:lang w:val="en-US"/>
              </w:rPr>
            </w:pPr>
            <w:r>
              <w:rPr>
                <w:b/>
              </w:rPr>
              <w:t xml:space="preserve">3. </w:t>
            </w:r>
            <w:r w:rsidRPr="00636013">
              <w:rPr>
                <w:b/>
              </w:rPr>
              <w:t>Ordonanţa de urgenţă a Guvernului nr. 30/2018 privind instituirea unor măsuri în domeniul fondurilor europene şi pentru completarea unor acte normative, aprobată cu modificări şi completări prin Legea nr. 260/</w:t>
            </w:r>
            <w:r>
              <w:rPr>
                <w:b/>
              </w:rPr>
              <w:t>2018</w:t>
            </w:r>
            <w:r w:rsidRPr="009B71DC">
              <w:rPr>
                <w:rFonts w:eastAsia="Calibri"/>
                <w:bCs/>
                <w:lang w:val="en-US"/>
              </w:rPr>
              <w:t>:</w:t>
            </w:r>
          </w:p>
          <w:p w14:paraId="6A0C1E61" w14:textId="3B63DF50" w:rsidR="009B71DC" w:rsidRPr="006449AD" w:rsidRDefault="009B71DC" w:rsidP="009B71DC">
            <w:pPr>
              <w:pStyle w:val="ListParagraph"/>
              <w:spacing w:before="120" w:after="120"/>
              <w:ind w:left="0"/>
              <w:jc w:val="both"/>
              <w:rPr>
                <w:rFonts w:ascii="Times New Roman" w:hAnsi="Times New Roman" w:cs="Times New Roman"/>
              </w:rPr>
            </w:pPr>
            <w:r w:rsidRPr="006449AD">
              <w:rPr>
                <w:rFonts w:ascii="Times New Roman" w:hAnsi="Times New Roman" w:cs="Times New Roman"/>
              </w:rPr>
              <w:t>Prezentul proiect are ca obiect de reglementare completarea dispoziţiilor art. I din Ordonanța de urgență a Guvernului nr. 30/2018, aprobată cu modificări şi completări prin Legea nr. 260/2018, cu noi prevederi, potrivit cărora beneficiarii Programului național de dezvoltare locală vor depune documentațiile aferente proiectelor la Autoritatea de Management pentru Programul Operațional Infrastructură Mare din cadrul Ministerului Fondurilor Europene, în vederea analizării și includerii acestora în portofoliul POIM, pentru decontarea din fonduri europene aferente POIM 2014 – 2020.</w:t>
            </w:r>
          </w:p>
          <w:p w14:paraId="6DF64E9F" w14:textId="77777777" w:rsidR="009B71DC" w:rsidRPr="006449AD" w:rsidRDefault="009B71DC" w:rsidP="009B71DC">
            <w:pPr>
              <w:pStyle w:val="ListParagraph"/>
              <w:spacing w:before="120" w:after="120"/>
              <w:ind w:left="0"/>
              <w:jc w:val="both"/>
              <w:rPr>
                <w:rFonts w:ascii="Times New Roman" w:hAnsi="Times New Roman" w:cs="Times New Roman"/>
              </w:rPr>
            </w:pPr>
            <w:r w:rsidRPr="006449AD">
              <w:rPr>
                <w:rFonts w:ascii="Times New Roman" w:hAnsi="Times New Roman" w:cs="Times New Roman"/>
              </w:rPr>
              <w:t xml:space="preserve">Tratamentul retrospectiv al cheltuielilor realizate este un mecanism agreat cu Comisia Europeană și utilizat cu succes în precedenta perioadă de programare, în cadrul POS Transport și POS Mediu (relevant fiind, astfel, și cadrul normativ specific, respectiv Ordonanța de urgență a Guvernului  nr. 34/2015 privind reglementarea unor măsuri pentru stimularea absorbției </w:t>
            </w:r>
            <w:r w:rsidRPr="006449AD">
              <w:rPr>
                <w:rFonts w:ascii="Times New Roman" w:hAnsi="Times New Roman" w:cs="Times New Roman"/>
              </w:rPr>
              <w:lastRenderedPageBreak/>
              <w:t>fondurilor externe nerambursabile, aprobată cu modificări și completări prin Legea nr. 104/2016, cu modificările și completările ulterioare). Acest demers presupune un screening al proiectelor realizate din alte surse de finanțare (buget de stat, instituții financiare internaționale - IFI etc.) pe cel puțin cinci paliere principale:</w:t>
            </w:r>
          </w:p>
          <w:p w14:paraId="1D330C5F" w14:textId="77777777" w:rsidR="009B71DC" w:rsidRPr="006449AD" w:rsidRDefault="009B71DC" w:rsidP="009B71DC">
            <w:pPr>
              <w:pStyle w:val="ListParagraph"/>
              <w:numPr>
                <w:ilvl w:val="0"/>
                <w:numId w:val="2"/>
              </w:numPr>
              <w:tabs>
                <w:tab w:val="left" w:pos="250"/>
              </w:tabs>
              <w:spacing w:before="120" w:after="120"/>
              <w:ind w:left="70" w:firstLine="0"/>
              <w:contextualSpacing w:val="0"/>
              <w:jc w:val="both"/>
              <w:rPr>
                <w:rFonts w:ascii="Times New Roman" w:hAnsi="Times New Roman" w:cs="Times New Roman"/>
              </w:rPr>
            </w:pPr>
            <w:r w:rsidRPr="006449AD">
              <w:rPr>
                <w:rFonts w:ascii="Times New Roman" w:hAnsi="Times New Roman" w:cs="Times New Roman"/>
              </w:rPr>
              <w:t>apartenența proiectelor la obiectivele de finanțare ale POIM;</w:t>
            </w:r>
          </w:p>
          <w:p w14:paraId="4A6E4D7C" w14:textId="77777777" w:rsidR="009B71DC" w:rsidRPr="006449AD" w:rsidRDefault="009B71DC" w:rsidP="009B71DC">
            <w:pPr>
              <w:pStyle w:val="ListParagraph"/>
              <w:numPr>
                <w:ilvl w:val="0"/>
                <w:numId w:val="2"/>
              </w:numPr>
              <w:tabs>
                <w:tab w:val="left" w:pos="250"/>
              </w:tabs>
              <w:spacing w:before="120" w:after="120"/>
              <w:ind w:left="70" w:firstLine="0"/>
              <w:contextualSpacing w:val="0"/>
              <w:jc w:val="both"/>
              <w:rPr>
                <w:rFonts w:ascii="Times New Roman" w:hAnsi="Times New Roman" w:cs="Times New Roman"/>
              </w:rPr>
            </w:pPr>
            <w:r w:rsidRPr="006449AD">
              <w:rPr>
                <w:rFonts w:ascii="Times New Roman" w:hAnsi="Times New Roman" w:cs="Times New Roman"/>
              </w:rPr>
              <w:t xml:space="preserve">respectarea legislației de mediu; </w:t>
            </w:r>
          </w:p>
          <w:p w14:paraId="049F7800" w14:textId="77777777" w:rsidR="009B71DC" w:rsidRPr="006449AD" w:rsidRDefault="009B71DC" w:rsidP="009B71DC">
            <w:pPr>
              <w:numPr>
                <w:ilvl w:val="0"/>
                <w:numId w:val="2"/>
              </w:numPr>
              <w:tabs>
                <w:tab w:val="left" w:pos="250"/>
              </w:tabs>
              <w:spacing w:before="120" w:after="120"/>
              <w:ind w:left="70" w:firstLine="0"/>
              <w:jc w:val="both"/>
            </w:pPr>
            <w:r w:rsidRPr="006449AD">
              <w:t xml:space="preserve">respectarea legislației privind achizițiile publice; </w:t>
            </w:r>
          </w:p>
          <w:p w14:paraId="74CB4554" w14:textId="77777777" w:rsidR="009B71DC" w:rsidRPr="006449AD" w:rsidRDefault="009B71DC" w:rsidP="009B71DC">
            <w:pPr>
              <w:numPr>
                <w:ilvl w:val="0"/>
                <w:numId w:val="2"/>
              </w:numPr>
              <w:tabs>
                <w:tab w:val="left" w:pos="250"/>
              </w:tabs>
              <w:spacing w:before="120" w:after="120"/>
              <w:ind w:left="70" w:firstLine="0"/>
              <w:jc w:val="both"/>
            </w:pPr>
            <w:r w:rsidRPr="006449AD">
              <w:t>cheltuielile să fi fost realizate în perioada de eligibilitate a POIM;</w:t>
            </w:r>
          </w:p>
          <w:p w14:paraId="352FA399" w14:textId="77777777" w:rsidR="009B71DC" w:rsidRPr="006449AD" w:rsidRDefault="009B71DC" w:rsidP="009B71DC">
            <w:pPr>
              <w:numPr>
                <w:ilvl w:val="0"/>
                <w:numId w:val="2"/>
              </w:numPr>
              <w:tabs>
                <w:tab w:val="left" w:pos="250"/>
              </w:tabs>
              <w:spacing w:before="120" w:after="120"/>
              <w:ind w:left="70" w:firstLine="0"/>
              <w:jc w:val="both"/>
            </w:pPr>
            <w:r w:rsidRPr="006449AD">
              <w:t xml:space="preserve">complementaritatea investițiilor realizate din surse naționale cu cele realizate deja prin POS Mediu sau care urmează a se realiza prin POIM;  </w:t>
            </w:r>
          </w:p>
          <w:p w14:paraId="7FA3F6A0" w14:textId="77777777" w:rsidR="009B71DC" w:rsidRPr="006449AD" w:rsidRDefault="009B71DC" w:rsidP="009B71DC">
            <w:pPr>
              <w:numPr>
                <w:ilvl w:val="0"/>
                <w:numId w:val="2"/>
              </w:numPr>
              <w:tabs>
                <w:tab w:val="left" w:pos="250"/>
              </w:tabs>
              <w:spacing w:before="120" w:after="120"/>
              <w:ind w:left="70" w:firstLine="0"/>
              <w:jc w:val="both"/>
            </w:pPr>
            <w:r w:rsidRPr="006449AD">
              <w:t>documentele suport ce au stat la baza realizării proiectelor să respecte legislația europeană în ceea ce privește elaborarea și transmiterea unei aplicații de finanțare viabile: ex. existența de studii de fezabilitate (inclusiv, între altele, analiza cost-beneficiu), consultări publice, etc.</w:t>
            </w:r>
          </w:p>
          <w:p w14:paraId="5039545B" w14:textId="77777777" w:rsidR="009B71DC" w:rsidRPr="006449AD" w:rsidRDefault="009B71DC" w:rsidP="009B71DC">
            <w:pPr>
              <w:pStyle w:val="ListParagraph"/>
              <w:spacing w:before="120" w:after="120"/>
              <w:ind w:left="0"/>
              <w:jc w:val="both"/>
              <w:rPr>
                <w:rFonts w:ascii="Times New Roman" w:hAnsi="Times New Roman" w:cs="Times New Roman"/>
              </w:rPr>
            </w:pPr>
            <w:r w:rsidRPr="006449AD">
              <w:rPr>
                <w:rFonts w:ascii="Times New Roman" w:hAnsi="Times New Roman" w:cs="Times New Roman"/>
              </w:rPr>
              <w:t xml:space="preserve">Pentru punerea în practică a acestui mecanism, Ministerul Fondurilor Europene prin AM POIM a elaborat o listă de verificare a aspectelor privind pregătirea și implementarea proiectelor finanțate din PNDL, în vederea identificării elementelor constitutive ce vor sta la baza unei aplicații de finanțare în cadrul POIM. </w:t>
            </w:r>
          </w:p>
          <w:p w14:paraId="42660731" w14:textId="77777777" w:rsidR="009B71DC" w:rsidRPr="006449AD" w:rsidRDefault="009B71DC" w:rsidP="009B71DC">
            <w:pPr>
              <w:pStyle w:val="ListParagraph"/>
              <w:spacing w:before="120" w:after="120"/>
              <w:ind w:left="0"/>
              <w:jc w:val="both"/>
              <w:rPr>
                <w:rFonts w:ascii="Times New Roman" w:hAnsi="Times New Roman" w:cs="Times New Roman"/>
              </w:rPr>
            </w:pPr>
            <w:r w:rsidRPr="006449AD">
              <w:rPr>
                <w:rFonts w:ascii="Times New Roman" w:hAnsi="Times New Roman" w:cs="Times New Roman"/>
              </w:rPr>
              <w:t>Astfel, se impune transmiterea de către Ministerul Lucrărilor Publice, Dezvoltării și Administrației a documentelor aflate la dispoziția sa ca urmare a finanțării proiectelor prin PNDL, depuse de către beneficiari conform prevederilor Ordonanței de urgență a Guvernului nr. 28/2013 pentru aprobarea Programului național de dezvoltare locală, cu modificările și completările ulterioare și de către beneficiarii finanțării din PNDL, a unor documente suplimentare față de cele solicitate, conform legii, pentru finanțarea prin PNDL, necesare realizării acestui demers.</w:t>
            </w:r>
          </w:p>
          <w:p w14:paraId="5F2EBE5D" w14:textId="77777777" w:rsidR="009B71DC" w:rsidRPr="006449AD" w:rsidRDefault="009B71DC" w:rsidP="009B71DC">
            <w:pPr>
              <w:pStyle w:val="ListParagraph"/>
              <w:spacing w:before="120" w:after="120"/>
              <w:ind w:left="0"/>
              <w:jc w:val="both"/>
              <w:rPr>
                <w:rFonts w:ascii="Times New Roman" w:hAnsi="Times New Roman" w:cs="Times New Roman"/>
              </w:rPr>
            </w:pPr>
            <w:r w:rsidRPr="006449AD">
              <w:rPr>
                <w:rFonts w:ascii="Times New Roman" w:hAnsi="Times New Roman" w:cs="Times New Roman"/>
              </w:rPr>
              <w:t xml:space="preserve">Prin completarea dispoziţiilor art. I din Ordonanța de urgență a Guvernului nr. 30/2018, se reglementează cadrul în care atât Ministerul Fondurilor Europene în calitate de AM POIM, cât și beneficiarii PNDL vor depune toate eforturile în vederea realizării acestei acțiuni. </w:t>
            </w:r>
          </w:p>
          <w:p w14:paraId="2080D2E1" w14:textId="77777777" w:rsidR="00275947" w:rsidRPr="009B71DC" w:rsidRDefault="00275947" w:rsidP="00275947">
            <w:pPr>
              <w:spacing w:before="120" w:after="120"/>
              <w:jc w:val="both"/>
              <w:rPr>
                <w:rFonts w:eastAsia="Calibri"/>
                <w:bCs/>
                <w:lang w:val="en-US"/>
              </w:rPr>
            </w:pPr>
            <w:r>
              <w:rPr>
                <w:b/>
              </w:rPr>
              <w:t xml:space="preserve">4. </w:t>
            </w:r>
            <w:r w:rsidRPr="00C30992">
              <w:rPr>
                <w:b/>
              </w:rPr>
              <w:t>Ordonanța de urgență a Guvernului nr. 47/2013 privind unele măsuri în domeniul instrumentelor structurale care privesc beneficiarii direcți finanțați din fonduri externe nerambursabile, precum şi unele măsuri financiare în domeniul ex-ISPA din sectorul transporturi, aprobată prin Legea nr.222/2013, cu modificările și completările ulterioare</w:t>
            </w:r>
            <w:r w:rsidRPr="009B71DC">
              <w:rPr>
                <w:rFonts w:eastAsia="Calibri"/>
                <w:bCs/>
                <w:lang w:val="en-US"/>
              </w:rPr>
              <w:t>:</w:t>
            </w:r>
          </w:p>
          <w:p w14:paraId="1F49CE47" w14:textId="62291EAD" w:rsidR="009B71DC" w:rsidRPr="006449AD" w:rsidRDefault="009B71DC" w:rsidP="009B71DC">
            <w:pPr>
              <w:autoSpaceDE w:val="0"/>
              <w:autoSpaceDN w:val="0"/>
              <w:adjustRightInd w:val="0"/>
              <w:spacing w:before="120" w:after="120"/>
              <w:jc w:val="both"/>
            </w:pPr>
            <w:r w:rsidRPr="006449AD">
              <w:t xml:space="preserve">Prelungirea perioadei de implementare de la 31 decembrie 2019 până la data de 31 decembrie 2022 pentru a evita riscul dezangajării cheltuielilor pentru proiectele ex-ISPA nefinalizate. </w:t>
            </w:r>
          </w:p>
          <w:p w14:paraId="7E07F5DD" w14:textId="77777777" w:rsidR="009B71DC" w:rsidRDefault="009B71DC" w:rsidP="009B71DC">
            <w:pPr>
              <w:spacing w:before="120" w:after="120"/>
              <w:jc w:val="both"/>
            </w:pPr>
            <w:r w:rsidRPr="006449AD">
              <w:t>Prin aplicarea măsurii propuse nu este afectat sub nicio formă dreptul fundamental la garantarea proprietății, nu se aduce atingere siguranței în construcții, nu este afectată securitatea și sănătatea persoanelor, patrimoniul cultural național și nu sunt afectate normele de protecția a mediului.</w:t>
            </w:r>
          </w:p>
          <w:p w14:paraId="1F02F0BC" w14:textId="77777777" w:rsidR="007E6D8E" w:rsidRDefault="007E6D8E" w:rsidP="009B71DC">
            <w:pPr>
              <w:spacing w:before="120" w:after="120"/>
              <w:jc w:val="both"/>
              <w:rPr>
                <w:b/>
              </w:rPr>
            </w:pPr>
            <w:r w:rsidRPr="007E6D8E">
              <w:rPr>
                <w:b/>
              </w:rPr>
              <w:lastRenderedPageBreak/>
              <w:t>5. Ordonanța de urgență a Guvernului nr. 26/2012 privind unele măsuri de reducere a cheltuielilor publice și întărirea disciplinei financiare și de modificare și completare a unor acte normative, aprobată cu modificări şi completări prin Legea nr.16/2013, cu modifică</w:t>
            </w:r>
            <w:r>
              <w:rPr>
                <w:b/>
              </w:rPr>
              <w:t>rile și completările ulterioare</w:t>
            </w:r>
            <w:r>
              <w:rPr>
                <w:b/>
                <w:lang w:val="en-US"/>
              </w:rPr>
              <w:t>:</w:t>
            </w:r>
          </w:p>
          <w:p w14:paraId="4EB05AEC" w14:textId="7452B90A" w:rsidR="007E6D8E" w:rsidRPr="007E6D8E" w:rsidRDefault="00355C12" w:rsidP="00A42D45">
            <w:pPr>
              <w:spacing w:before="120" w:after="120"/>
              <w:jc w:val="both"/>
            </w:pPr>
            <w:r>
              <w:t xml:space="preserve">Propunerea de modificare vizează acordarea posibilității elaborării de </w:t>
            </w:r>
            <w:r>
              <w:rPr>
                <w:color w:val="000000"/>
                <w:shd w:val="clear" w:color="auto" w:fill="FFFFFF"/>
              </w:rPr>
              <w:t>studii</w:t>
            </w:r>
            <w:r w:rsidRPr="00355C12">
              <w:rPr>
                <w:color w:val="000000"/>
                <w:shd w:val="clear" w:color="auto" w:fill="FFFFFF"/>
              </w:rPr>
              <w:t xml:space="preserve"> </w:t>
            </w:r>
            <w:r>
              <w:rPr>
                <w:color w:val="000000"/>
                <w:shd w:val="clear" w:color="auto" w:fill="FFFFFF"/>
              </w:rPr>
              <w:t>de prefezabilitate, studii</w:t>
            </w:r>
            <w:r w:rsidRPr="00355C12">
              <w:rPr>
                <w:color w:val="000000"/>
                <w:shd w:val="clear" w:color="auto" w:fill="FFFFFF"/>
              </w:rPr>
              <w:t xml:space="preserve"> de fezabilitate şi a altor studii aferente obiectivelor de investiţii, </w:t>
            </w:r>
            <w:r w:rsidRPr="00355C12">
              <w:rPr>
                <w:bdr w:val="none" w:sz="0" w:space="0" w:color="auto" w:frame="1"/>
                <w:shd w:val="clear" w:color="auto" w:fill="FFFFFF"/>
              </w:rPr>
              <w:t>aferente proiectelor strategice regionale</w:t>
            </w:r>
            <w:r>
              <w:t xml:space="preserve"> prin excepție de la aplicarea prevederilor art. V, </w:t>
            </w:r>
            <w:r w:rsidRPr="00355C12">
              <w:t>alin. (1) şi (2)</w:t>
            </w:r>
            <w:r w:rsidRPr="00355C12">
              <w:rPr>
                <w:bdr w:val="none" w:sz="0" w:space="0" w:color="auto" w:frame="1"/>
                <w:shd w:val="clear" w:color="auto" w:fill="FFFFFF"/>
              </w:rPr>
              <w:t>.</w:t>
            </w:r>
          </w:p>
        </w:tc>
      </w:tr>
      <w:tr w:rsidR="006449AD" w:rsidRPr="006449AD" w14:paraId="4F0A040E" w14:textId="77777777" w:rsidTr="00EF2A2C">
        <w:trPr>
          <w:trHeight w:val="952"/>
        </w:trPr>
        <w:tc>
          <w:tcPr>
            <w:tcW w:w="2684" w:type="dxa"/>
          </w:tcPr>
          <w:p w14:paraId="444F22DC" w14:textId="083A927F" w:rsidR="00670C79" w:rsidRPr="006449AD" w:rsidRDefault="00670C79" w:rsidP="006A5A1B">
            <w:pPr>
              <w:jc w:val="both"/>
            </w:pPr>
            <w:r w:rsidRPr="006449AD">
              <w:lastRenderedPageBreak/>
              <w:t>3.Alte informaţii</w:t>
            </w:r>
          </w:p>
        </w:tc>
        <w:tc>
          <w:tcPr>
            <w:tcW w:w="7513" w:type="dxa"/>
          </w:tcPr>
          <w:p w14:paraId="33DA0BF8" w14:textId="37D183FB" w:rsidR="00670C79" w:rsidRPr="006449AD" w:rsidRDefault="00670C79" w:rsidP="00E20EAD">
            <w:pPr>
              <w:widowControl w:val="0"/>
              <w:autoSpaceDE w:val="0"/>
              <w:autoSpaceDN w:val="0"/>
              <w:adjustRightInd w:val="0"/>
              <w:spacing w:before="120" w:after="120"/>
              <w:jc w:val="both"/>
            </w:pPr>
            <w:r w:rsidRPr="006449AD">
              <w:rPr>
                <w:lang w:eastAsia="ro-RO"/>
              </w:rPr>
              <w:t xml:space="preserve">Amânarea adoptării măsurilor propuse are ca efect creşterea riscului </w:t>
            </w:r>
            <w:r w:rsidRPr="006449AD">
              <w:rPr>
                <w:iCs/>
                <w:lang w:eastAsia="ro-RO"/>
              </w:rPr>
              <w:t>dezangajării automate a fondurilor la sfârșitul anului 2019, cu impact direct asupra absorbției fondurilor europene.</w:t>
            </w:r>
          </w:p>
        </w:tc>
      </w:tr>
    </w:tbl>
    <w:p w14:paraId="595E65E7" w14:textId="77777777" w:rsidR="00026B13" w:rsidRDefault="00026B13" w:rsidP="00670C79">
      <w:pPr>
        <w:spacing w:before="120" w:after="120"/>
        <w:ind w:left="357"/>
        <w:rPr>
          <w:b/>
        </w:rPr>
      </w:pPr>
    </w:p>
    <w:p w14:paraId="33145391" w14:textId="77777777" w:rsidR="00CB78C4" w:rsidRPr="006449AD" w:rsidRDefault="00CB78C4" w:rsidP="00670C79">
      <w:pPr>
        <w:spacing w:before="120" w:after="120"/>
        <w:ind w:left="357"/>
        <w:rPr>
          <w:b/>
        </w:rPr>
      </w:pPr>
    </w:p>
    <w:p w14:paraId="4E4A7A8E" w14:textId="77777777" w:rsidR="00670C79" w:rsidRDefault="00670C79" w:rsidP="00670C79">
      <w:pPr>
        <w:spacing w:before="120" w:after="120"/>
        <w:ind w:left="357"/>
        <w:rPr>
          <w:b/>
        </w:rPr>
      </w:pPr>
      <w:r w:rsidRPr="006449AD">
        <w:rPr>
          <w:b/>
        </w:rPr>
        <w:t>Secţiunea a 3-a - Impactul socio-economic al proiectului de act normativ</w:t>
      </w:r>
    </w:p>
    <w:p w14:paraId="3C37F021" w14:textId="77777777" w:rsidR="00CB78C4" w:rsidRDefault="00CB78C4" w:rsidP="00670C79">
      <w:pPr>
        <w:spacing w:before="120" w:after="120"/>
        <w:ind w:left="357"/>
        <w:rPr>
          <w:b/>
        </w:rPr>
      </w:pPr>
    </w:p>
    <w:p w14:paraId="2DD6C389" w14:textId="77777777" w:rsidR="00CB78C4" w:rsidRPr="006449AD" w:rsidRDefault="00CB78C4" w:rsidP="00670C79">
      <w:pPr>
        <w:spacing w:before="120" w:after="120"/>
        <w:ind w:left="357"/>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6449AD" w:rsidRPr="006449AD" w14:paraId="4F7B7B5A" w14:textId="77777777" w:rsidTr="006A5A1B">
        <w:tc>
          <w:tcPr>
            <w:tcW w:w="2684" w:type="dxa"/>
          </w:tcPr>
          <w:p w14:paraId="1A4C81E4" w14:textId="77777777" w:rsidR="00670C79" w:rsidRPr="006449AD" w:rsidRDefault="00670C79" w:rsidP="006A5A1B">
            <w:r w:rsidRPr="006449AD">
              <w:t>1. Impactul macroeconomic</w:t>
            </w:r>
          </w:p>
        </w:tc>
        <w:tc>
          <w:tcPr>
            <w:tcW w:w="7556" w:type="dxa"/>
            <w:vAlign w:val="center"/>
          </w:tcPr>
          <w:p w14:paraId="041FB550" w14:textId="77777777" w:rsidR="00670C79" w:rsidRPr="006449AD" w:rsidRDefault="00670C79" w:rsidP="006A5A1B">
            <w:r w:rsidRPr="006449AD">
              <w:t>Proiectul de act normativ nu se referă la acest subiect.</w:t>
            </w:r>
          </w:p>
        </w:tc>
      </w:tr>
      <w:tr w:rsidR="006449AD" w:rsidRPr="006449AD" w14:paraId="11154DDC" w14:textId="77777777" w:rsidTr="006A5A1B">
        <w:tc>
          <w:tcPr>
            <w:tcW w:w="2684" w:type="dxa"/>
          </w:tcPr>
          <w:p w14:paraId="4F381BDD" w14:textId="77777777" w:rsidR="00670C79" w:rsidRPr="006449AD" w:rsidRDefault="00670C79" w:rsidP="00085904">
            <w:pPr>
              <w:jc w:val="both"/>
            </w:pPr>
            <w:r w:rsidRPr="006449AD">
              <w:t>1</w:t>
            </w:r>
            <w:r w:rsidRPr="006449AD">
              <w:rPr>
                <w:vertAlign w:val="superscript"/>
              </w:rPr>
              <w:t>1</w:t>
            </w:r>
            <w:r w:rsidRPr="006449AD">
              <w:t>. Impactul asupra mediului concurenţial şi domeniului ajutoarelor de stat</w:t>
            </w:r>
          </w:p>
        </w:tc>
        <w:tc>
          <w:tcPr>
            <w:tcW w:w="7556" w:type="dxa"/>
            <w:vAlign w:val="center"/>
          </w:tcPr>
          <w:p w14:paraId="3691C3E7" w14:textId="77777777" w:rsidR="00670C79" w:rsidRPr="006449AD" w:rsidRDefault="00670C79" w:rsidP="006A5A1B">
            <w:pPr>
              <w:spacing w:line="360" w:lineRule="auto"/>
              <w:jc w:val="both"/>
            </w:pPr>
            <w:r w:rsidRPr="006449AD">
              <w:t>Proiectul de act normativ nu se referă la acest subiect.</w:t>
            </w:r>
          </w:p>
        </w:tc>
      </w:tr>
      <w:tr w:rsidR="006449AD" w:rsidRPr="006449AD" w14:paraId="2B719308" w14:textId="77777777" w:rsidTr="006A5A1B">
        <w:tc>
          <w:tcPr>
            <w:tcW w:w="2684" w:type="dxa"/>
          </w:tcPr>
          <w:p w14:paraId="7958BBB2" w14:textId="77777777" w:rsidR="00670C79" w:rsidRPr="006449AD" w:rsidRDefault="00670C79" w:rsidP="006A5A1B">
            <w:r w:rsidRPr="006449AD">
              <w:t>2. Impact asupra mediului de afaceri</w:t>
            </w:r>
          </w:p>
        </w:tc>
        <w:tc>
          <w:tcPr>
            <w:tcW w:w="7556" w:type="dxa"/>
            <w:vAlign w:val="center"/>
          </w:tcPr>
          <w:p w14:paraId="5C25A681" w14:textId="77777777" w:rsidR="00670C79" w:rsidRPr="006449AD" w:rsidRDefault="00670C79" w:rsidP="006A5A1B">
            <w:pPr>
              <w:jc w:val="both"/>
            </w:pPr>
            <w:r w:rsidRPr="006449AD">
              <w:t>Proiectul de act normativ nu se referă la acest subiect.</w:t>
            </w:r>
          </w:p>
        </w:tc>
      </w:tr>
      <w:tr w:rsidR="006449AD" w:rsidRPr="006449AD" w14:paraId="6802A78A" w14:textId="77777777" w:rsidTr="006A5A1B">
        <w:tc>
          <w:tcPr>
            <w:tcW w:w="2684" w:type="dxa"/>
          </w:tcPr>
          <w:p w14:paraId="3F227086" w14:textId="77777777" w:rsidR="00670C79" w:rsidRPr="006449AD" w:rsidRDefault="00670C79" w:rsidP="006A5A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449AD">
              <w:rPr>
                <w:lang w:eastAsia="ro-RO"/>
              </w:rPr>
              <w:t>2^1. Impactul asupra sarcinilor administrative</w:t>
            </w:r>
          </w:p>
        </w:tc>
        <w:tc>
          <w:tcPr>
            <w:tcW w:w="7556" w:type="dxa"/>
            <w:vAlign w:val="center"/>
          </w:tcPr>
          <w:p w14:paraId="27439D9F" w14:textId="77777777" w:rsidR="00670C79" w:rsidRPr="006449AD" w:rsidRDefault="00670C79" w:rsidP="006A5A1B">
            <w:pPr>
              <w:jc w:val="both"/>
            </w:pPr>
            <w:r w:rsidRPr="006449AD">
              <w:t>Proiectul de act normativ nu se referă la acest subiect.</w:t>
            </w:r>
          </w:p>
        </w:tc>
      </w:tr>
      <w:tr w:rsidR="006449AD" w:rsidRPr="006449AD" w14:paraId="1EE623DB" w14:textId="77777777" w:rsidTr="006A5A1B">
        <w:tc>
          <w:tcPr>
            <w:tcW w:w="2684" w:type="dxa"/>
          </w:tcPr>
          <w:p w14:paraId="48E23D9D" w14:textId="77777777" w:rsidR="00670C79" w:rsidRPr="006449AD" w:rsidRDefault="00670C79" w:rsidP="00085904">
            <w:pPr>
              <w:pStyle w:val="HTMLPreformatted"/>
              <w:shd w:val="clear" w:color="auto" w:fill="FFFFFF"/>
              <w:jc w:val="both"/>
              <w:rPr>
                <w:rFonts w:ascii="Times New Roman" w:hAnsi="Times New Roman" w:cs="Times New Roman"/>
                <w:sz w:val="24"/>
                <w:szCs w:val="24"/>
              </w:rPr>
            </w:pPr>
            <w:r w:rsidRPr="006449AD">
              <w:rPr>
                <w:rFonts w:ascii="Times New Roman" w:hAnsi="Times New Roman" w:cs="Times New Roman"/>
                <w:sz w:val="24"/>
                <w:szCs w:val="24"/>
              </w:rPr>
              <w:t>2^</w:t>
            </w:r>
            <w:proofErr w:type="spellStart"/>
            <w:r w:rsidRPr="006449AD">
              <w:rPr>
                <w:rFonts w:ascii="Times New Roman" w:hAnsi="Times New Roman" w:cs="Times New Roman"/>
                <w:sz w:val="24"/>
                <w:szCs w:val="24"/>
              </w:rPr>
              <w:t>2</w:t>
            </w:r>
            <w:proofErr w:type="spellEnd"/>
            <w:r w:rsidRPr="006449AD">
              <w:rPr>
                <w:rFonts w:ascii="Times New Roman" w:hAnsi="Times New Roman" w:cs="Times New Roman"/>
                <w:sz w:val="24"/>
                <w:szCs w:val="24"/>
              </w:rPr>
              <w:t>. Impactul asupra întreprinderilor mici și mijlocii</w:t>
            </w:r>
          </w:p>
        </w:tc>
        <w:tc>
          <w:tcPr>
            <w:tcW w:w="7556" w:type="dxa"/>
            <w:vAlign w:val="center"/>
          </w:tcPr>
          <w:p w14:paraId="2A6279C4" w14:textId="77777777" w:rsidR="00670C79" w:rsidRPr="006449AD" w:rsidRDefault="00670C79" w:rsidP="006A5A1B">
            <w:pPr>
              <w:jc w:val="both"/>
            </w:pPr>
            <w:r w:rsidRPr="006449AD">
              <w:t>Proiectul de act normativ nu se referă la acest subiect.</w:t>
            </w:r>
          </w:p>
        </w:tc>
      </w:tr>
      <w:tr w:rsidR="006449AD" w:rsidRPr="006449AD" w14:paraId="4036C85E" w14:textId="77777777" w:rsidTr="006A5A1B">
        <w:tc>
          <w:tcPr>
            <w:tcW w:w="2684" w:type="dxa"/>
          </w:tcPr>
          <w:p w14:paraId="7DFA3F41" w14:textId="77777777" w:rsidR="00670C79" w:rsidRPr="006449AD" w:rsidRDefault="00670C79" w:rsidP="006A5A1B">
            <w:r w:rsidRPr="006449AD">
              <w:t>3. Implicaţii sociale</w:t>
            </w:r>
          </w:p>
        </w:tc>
        <w:tc>
          <w:tcPr>
            <w:tcW w:w="7556" w:type="dxa"/>
            <w:vAlign w:val="center"/>
          </w:tcPr>
          <w:p w14:paraId="04599162" w14:textId="77777777" w:rsidR="00670C79" w:rsidRPr="006449AD" w:rsidRDefault="00670C79" w:rsidP="006A5A1B">
            <w:pPr>
              <w:jc w:val="both"/>
            </w:pPr>
            <w:r w:rsidRPr="006449AD">
              <w:t>Proiectul de act normativ nu se referă la acest subiect.</w:t>
            </w:r>
          </w:p>
          <w:p w14:paraId="7B2B1E4F" w14:textId="77777777" w:rsidR="00670C79" w:rsidRPr="006449AD" w:rsidRDefault="00670C79" w:rsidP="006A5A1B">
            <w:pPr>
              <w:jc w:val="both"/>
            </w:pPr>
          </w:p>
        </w:tc>
      </w:tr>
      <w:tr w:rsidR="006449AD" w:rsidRPr="006449AD" w14:paraId="59D45322" w14:textId="77777777" w:rsidTr="006A5A1B">
        <w:tc>
          <w:tcPr>
            <w:tcW w:w="2684" w:type="dxa"/>
          </w:tcPr>
          <w:p w14:paraId="10B187CE" w14:textId="77777777" w:rsidR="00670C79" w:rsidRPr="006449AD" w:rsidRDefault="00670C79" w:rsidP="006A5A1B">
            <w:r w:rsidRPr="006449AD">
              <w:t>4. Impact asupra mediului</w:t>
            </w:r>
          </w:p>
        </w:tc>
        <w:tc>
          <w:tcPr>
            <w:tcW w:w="7556" w:type="dxa"/>
            <w:vAlign w:val="center"/>
          </w:tcPr>
          <w:p w14:paraId="05B3B285" w14:textId="77777777" w:rsidR="00670C79" w:rsidRPr="006449AD" w:rsidRDefault="00670C79" w:rsidP="006A5A1B">
            <w:pPr>
              <w:jc w:val="both"/>
            </w:pPr>
            <w:r w:rsidRPr="006449AD">
              <w:t>Proiectul de act normativ nu se referă la acest subiect.</w:t>
            </w:r>
          </w:p>
        </w:tc>
      </w:tr>
      <w:tr w:rsidR="006449AD" w:rsidRPr="006449AD" w14:paraId="32110270" w14:textId="77777777" w:rsidTr="006A5A1B">
        <w:tc>
          <w:tcPr>
            <w:tcW w:w="2684" w:type="dxa"/>
          </w:tcPr>
          <w:p w14:paraId="41862FBF" w14:textId="77777777" w:rsidR="00670C79" w:rsidRPr="006449AD" w:rsidRDefault="00670C79" w:rsidP="006A5A1B">
            <w:r w:rsidRPr="006449AD">
              <w:t>5. Alte informaţii</w:t>
            </w:r>
          </w:p>
        </w:tc>
        <w:tc>
          <w:tcPr>
            <w:tcW w:w="7556" w:type="dxa"/>
            <w:vAlign w:val="center"/>
          </w:tcPr>
          <w:p w14:paraId="53E2778B" w14:textId="77777777" w:rsidR="00670C79" w:rsidRPr="006449AD" w:rsidRDefault="00670C79" w:rsidP="006A5A1B">
            <w:pPr>
              <w:spacing w:line="360" w:lineRule="auto"/>
              <w:jc w:val="both"/>
            </w:pPr>
            <w:r w:rsidRPr="006449AD">
              <w:t>Nu au fost identificate.</w:t>
            </w:r>
          </w:p>
        </w:tc>
      </w:tr>
    </w:tbl>
    <w:p w14:paraId="51974E97" w14:textId="77777777" w:rsidR="008E3D03" w:rsidRDefault="008E3D03" w:rsidP="00670C79">
      <w:pPr>
        <w:ind w:left="180"/>
        <w:jc w:val="both"/>
        <w:rPr>
          <w:b/>
        </w:rPr>
      </w:pPr>
    </w:p>
    <w:p w14:paraId="192CDCAB" w14:textId="77777777" w:rsidR="00CB78C4" w:rsidRPr="006449AD" w:rsidRDefault="00CB78C4" w:rsidP="00670C79">
      <w:pPr>
        <w:ind w:left="180"/>
        <w:jc w:val="both"/>
        <w:rPr>
          <w:b/>
        </w:rPr>
      </w:pPr>
    </w:p>
    <w:p w14:paraId="15783247" w14:textId="77777777" w:rsidR="00026B13" w:rsidRPr="006449AD" w:rsidRDefault="00026B13" w:rsidP="00670C79">
      <w:pPr>
        <w:ind w:left="180"/>
        <w:jc w:val="both"/>
        <w:rPr>
          <w:b/>
        </w:rPr>
      </w:pPr>
    </w:p>
    <w:p w14:paraId="1C8F8AE0" w14:textId="77777777" w:rsidR="00CB78C4" w:rsidRDefault="00CB78C4" w:rsidP="00670C79">
      <w:pPr>
        <w:ind w:left="180"/>
        <w:jc w:val="both"/>
        <w:rPr>
          <w:b/>
        </w:rPr>
      </w:pPr>
    </w:p>
    <w:p w14:paraId="49CF8605" w14:textId="77777777" w:rsidR="00CB78C4" w:rsidRDefault="00CB78C4" w:rsidP="00670C79">
      <w:pPr>
        <w:ind w:left="180"/>
        <w:jc w:val="both"/>
        <w:rPr>
          <w:b/>
        </w:rPr>
      </w:pPr>
    </w:p>
    <w:p w14:paraId="39555511" w14:textId="77777777" w:rsidR="00CB78C4" w:rsidRDefault="00CB78C4" w:rsidP="00670C79">
      <w:pPr>
        <w:ind w:left="180"/>
        <w:jc w:val="both"/>
        <w:rPr>
          <w:b/>
        </w:rPr>
      </w:pPr>
    </w:p>
    <w:p w14:paraId="19AD528E" w14:textId="77777777" w:rsidR="00CB78C4" w:rsidRDefault="00CB78C4" w:rsidP="00670C79">
      <w:pPr>
        <w:ind w:left="180"/>
        <w:jc w:val="both"/>
        <w:rPr>
          <w:b/>
        </w:rPr>
      </w:pPr>
    </w:p>
    <w:p w14:paraId="2944E236" w14:textId="77777777" w:rsidR="00CB78C4" w:rsidRDefault="00CB78C4" w:rsidP="00670C79">
      <w:pPr>
        <w:ind w:left="180"/>
        <w:jc w:val="both"/>
        <w:rPr>
          <w:b/>
        </w:rPr>
      </w:pPr>
    </w:p>
    <w:p w14:paraId="34AED0C5" w14:textId="77777777" w:rsidR="00670C79" w:rsidRDefault="00670C79" w:rsidP="00670C79">
      <w:pPr>
        <w:ind w:left="180"/>
        <w:jc w:val="both"/>
        <w:rPr>
          <w:b/>
        </w:rPr>
      </w:pPr>
      <w:r w:rsidRPr="006449AD">
        <w:rPr>
          <w:b/>
        </w:rPr>
        <w:lastRenderedPageBreak/>
        <w:t>Secţiunea a 4-a. Impactul financiar asupra bugetului de stat consolidat, atât pe termen scurt, pentru anul curent, cât şi pe termen lung (pe 5 ani)</w:t>
      </w:r>
    </w:p>
    <w:p w14:paraId="691A5AA5" w14:textId="77777777" w:rsidR="00CB78C4" w:rsidRPr="006449AD" w:rsidRDefault="00CB78C4" w:rsidP="00670C79">
      <w:pPr>
        <w:ind w:left="180"/>
        <w:jc w:val="both"/>
        <w:rPr>
          <w:b/>
        </w:rPr>
      </w:pPr>
    </w:p>
    <w:p w14:paraId="62B00575" w14:textId="77777777" w:rsidR="00026B13" w:rsidRDefault="00026B13" w:rsidP="00670C79">
      <w:pPr>
        <w:ind w:left="180"/>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080"/>
        <w:gridCol w:w="900"/>
        <w:gridCol w:w="1080"/>
        <w:gridCol w:w="1080"/>
        <w:gridCol w:w="1260"/>
        <w:gridCol w:w="1980"/>
      </w:tblGrid>
      <w:tr w:rsidR="006449AD" w:rsidRPr="006449AD" w14:paraId="57D824B3" w14:textId="77777777" w:rsidTr="006A5A1B">
        <w:tc>
          <w:tcPr>
            <w:tcW w:w="2880" w:type="dxa"/>
          </w:tcPr>
          <w:p w14:paraId="318BEE35" w14:textId="77777777" w:rsidR="00670C79" w:rsidRPr="006449AD" w:rsidRDefault="00670C79" w:rsidP="006A5A1B">
            <w:pPr>
              <w:pStyle w:val="Heading2"/>
              <w:rPr>
                <w:sz w:val="24"/>
              </w:rPr>
            </w:pPr>
            <w:r w:rsidRPr="006449AD">
              <w:rPr>
                <w:sz w:val="24"/>
              </w:rPr>
              <w:t>Indicatori</w:t>
            </w:r>
          </w:p>
        </w:tc>
        <w:tc>
          <w:tcPr>
            <w:tcW w:w="1080" w:type="dxa"/>
          </w:tcPr>
          <w:p w14:paraId="603E3C85" w14:textId="77777777" w:rsidR="00670C79" w:rsidRPr="006449AD" w:rsidRDefault="00670C79" w:rsidP="006A5A1B">
            <w:pPr>
              <w:jc w:val="center"/>
            </w:pPr>
            <w:r w:rsidRPr="006449AD">
              <w:t>An curent</w:t>
            </w:r>
          </w:p>
        </w:tc>
        <w:tc>
          <w:tcPr>
            <w:tcW w:w="4320" w:type="dxa"/>
            <w:gridSpan w:val="4"/>
          </w:tcPr>
          <w:p w14:paraId="4EA4AF47" w14:textId="77777777" w:rsidR="00670C79" w:rsidRPr="006449AD" w:rsidRDefault="00670C79" w:rsidP="006A5A1B">
            <w:pPr>
              <w:jc w:val="center"/>
            </w:pPr>
            <w:r w:rsidRPr="006449AD">
              <w:t>Următorii 4 ani</w:t>
            </w:r>
          </w:p>
        </w:tc>
        <w:tc>
          <w:tcPr>
            <w:tcW w:w="1980" w:type="dxa"/>
          </w:tcPr>
          <w:p w14:paraId="1EE52564" w14:textId="77777777" w:rsidR="00670C79" w:rsidRPr="006449AD" w:rsidRDefault="00670C79" w:rsidP="006A5A1B">
            <w:pPr>
              <w:jc w:val="center"/>
            </w:pPr>
            <w:r w:rsidRPr="006449AD">
              <w:t>Media următorilor 5 ani, după anul curent</w:t>
            </w:r>
          </w:p>
        </w:tc>
      </w:tr>
      <w:tr w:rsidR="006449AD" w:rsidRPr="006449AD" w14:paraId="31AEB740" w14:textId="77777777" w:rsidTr="006A5A1B">
        <w:tc>
          <w:tcPr>
            <w:tcW w:w="2880" w:type="dxa"/>
          </w:tcPr>
          <w:p w14:paraId="1A04C9C9" w14:textId="77777777" w:rsidR="00670C79" w:rsidRPr="006449AD" w:rsidRDefault="00670C79" w:rsidP="006A5A1B">
            <w:pPr>
              <w:jc w:val="center"/>
            </w:pPr>
            <w:r w:rsidRPr="006449AD">
              <w:t>1</w:t>
            </w:r>
          </w:p>
        </w:tc>
        <w:tc>
          <w:tcPr>
            <w:tcW w:w="1080" w:type="dxa"/>
            <w:vAlign w:val="center"/>
          </w:tcPr>
          <w:p w14:paraId="44BDE6EE" w14:textId="77777777" w:rsidR="00670C79" w:rsidRPr="006449AD" w:rsidRDefault="00670C79" w:rsidP="006A5A1B">
            <w:pPr>
              <w:spacing w:line="360" w:lineRule="auto"/>
              <w:jc w:val="center"/>
            </w:pPr>
            <w:r w:rsidRPr="006449AD">
              <w:t>2</w:t>
            </w:r>
          </w:p>
        </w:tc>
        <w:tc>
          <w:tcPr>
            <w:tcW w:w="900" w:type="dxa"/>
            <w:vAlign w:val="center"/>
          </w:tcPr>
          <w:p w14:paraId="44511A2B" w14:textId="77777777" w:rsidR="00670C79" w:rsidRPr="006449AD" w:rsidRDefault="00670C79" w:rsidP="006A5A1B">
            <w:pPr>
              <w:spacing w:line="360" w:lineRule="auto"/>
              <w:jc w:val="center"/>
            </w:pPr>
            <w:r w:rsidRPr="006449AD">
              <w:t>3</w:t>
            </w:r>
          </w:p>
        </w:tc>
        <w:tc>
          <w:tcPr>
            <w:tcW w:w="1080" w:type="dxa"/>
            <w:vAlign w:val="center"/>
          </w:tcPr>
          <w:p w14:paraId="7665B810" w14:textId="77777777" w:rsidR="00670C79" w:rsidRPr="006449AD" w:rsidRDefault="00670C79" w:rsidP="006A5A1B">
            <w:pPr>
              <w:spacing w:line="360" w:lineRule="auto"/>
              <w:jc w:val="center"/>
            </w:pPr>
            <w:r w:rsidRPr="006449AD">
              <w:t>4</w:t>
            </w:r>
          </w:p>
        </w:tc>
        <w:tc>
          <w:tcPr>
            <w:tcW w:w="1080" w:type="dxa"/>
            <w:vAlign w:val="center"/>
          </w:tcPr>
          <w:p w14:paraId="375332DA" w14:textId="77777777" w:rsidR="00670C79" w:rsidRPr="006449AD" w:rsidRDefault="00670C79" w:rsidP="006A5A1B">
            <w:pPr>
              <w:spacing w:line="360" w:lineRule="auto"/>
              <w:jc w:val="center"/>
            </w:pPr>
            <w:r w:rsidRPr="006449AD">
              <w:t>5</w:t>
            </w:r>
          </w:p>
        </w:tc>
        <w:tc>
          <w:tcPr>
            <w:tcW w:w="1260" w:type="dxa"/>
            <w:vAlign w:val="center"/>
          </w:tcPr>
          <w:p w14:paraId="0DD2A48C" w14:textId="77777777" w:rsidR="00670C79" w:rsidRPr="006449AD" w:rsidRDefault="00670C79" w:rsidP="006A5A1B">
            <w:pPr>
              <w:spacing w:line="360" w:lineRule="auto"/>
              <w:jc w:val="center"/>
            </w:pPr>
            <w:r w:rsidRPr="006449AD">
              <w:t>6</w:t>
            </w:r>
          </w:p>
        </w:tc>
        <w:tc>
          <w:tcPr>
            <w:tcW w:w="1980" w:type="dxa"/>
            <w:vAlign w:val="center"/>
          </w:tcPr>
          <w:p w14:paraId="64FF500C" w14:textId="77777777" w:rsidR="00670C79" w:rsidRPr="006449AD" w:rsidRDefault="00670C79" w:rsidP="006A5A1B">
            <w:pPr>
              <w:spacing w:line="360" w:lineRule="auto"/>
              <w:jc w:val="center"/>
            </w:pPr>
            <w:r w:rsidRPr="006449AD">
              <w:t>7</w:t>
            </w:r>
          </w:p>
        </w:tc>
      </w:tr>
      <w:tr w:rsidR="006449AD" w:rsidRPr="006449AD" w14:paraId="24F374CE" w14:textId="77777777" w:rsidTr="006A5A1B">
        <w:tc>
          <w:tcPr>
            <w:tcW w:w="2880" w:type="dxa"/>
          </w:tcPr>
          <w:p w14:paraId="16B8D264" w14:textId="77777777" w:rsidR="00670C79" w:rsidRPr="006449AD" w:rsidRDefault="00670C79" w:rsidP="00085904">
            <w:pPr>
              <w:jc w:val="both"/>
            </w:pPr>
            <w:r w:rsidRPr="006449AD">
              <w:t>1.Modificări ale veniturilor bugetare, plus/minus, din care:</w:t>
            </w:r>
          </w:p>
          <w:p w14:paraId="4B6C0C63" w14:textId="77777777" w:rsidR="00670C79" w:rsidRPr="006449AD" w:rsidRDefault="00670C79" w:rsidP="00085904">
            <w:pPr>
              <w:jc w:val="both"/>
            </w:pPr>
            <w:r w:rsidRPr="006449AD">
              <w:t>a)bugetul de stat, din acesta:</w:t>
            </w:r>
          </w:p>
          <w:p w14:paraId="0B240570" w14:textId="77777777" w:rsidR="00670C79" w:rsidRPr="006449AD" w:rsidRDefault="00670C79" w:rsidP="00085904">
            <w:pPr>
              <w:jc w:val="both"/>
            </w:pPr>
            <w:r w:rsidRPr="006449AD">
              <w:t>-impozit pe profit</w:t>
            </w:r>
          </w:p>
          <w:p w14:paraId="7FF15A7F" w14:textId="77777777" w:rsidR="00670C79" w:rsidRPr="006449AD" w:rsidRDefault="00670C79" w:rsidP="00085904">
            <w:pPr>
              <w:jc w:val="both"/>
            </w:pPr>
            <w:r w:rsidRPr="006449AD">
              <w:t>-impozit pe venit</w:t>
            </w:r>
          </w:p>
          <w:p w14:paraId="6929BEE8" w14:textId="77777777" w:rsidR="00670C79" w:rsidRPr="006449AD" w:rsidRDefault="00670C79" w:rsidP="00085904">
            <w:pPr>
              <w:jc w:val="both"/>
            </w:pPr>
            <w:r w:rsidRPr="006449AD">
              <w:t>b)bugete locale:</w:t>
            </w:r>
          </w:p>
          <w:p w14:paraId="018DC564" w14:textId="77777777" w:rsidR="00670C79" w:rsidRPr="006449AD" w:rsidRDefault="00670C79" w:rsidP="00085904">
            <w:pPr>
              <w:jc w:val="both"/>
            </w:pPr>
            <w:r w:rsidRPr="006449AD">
              <w:t>-impozit pe profit</w:t>
            </w:r>
          </w:p>
          <w:p w14:paraId="36DA5184" w14:textId="77777777" w:rsidR="00670C79" w:rsidRPr="006449AD" w:rsidRDefault="00670C79" w:rsidP="00085904">
            <w:pPr>
              <w:jc w:val="both"/>
            </w:pPr>
            <w:r w:rsidRPr="006449AD">
              <w:t>c)bugetul asigurărilor sociale</w:t>
            </w:r>
          </w:p>
          <w:p w14:paraId="7075F3AB" w14:textId="77777777" w:rsidR="00670C79" w:rsidRPr="006449AD" w:rsidRDefault="00670C79" w:rsidP="00085904">
            <w:pPr>
              <w:jc w:val="both"/>
            </w:pPr>
            <w:r w:rsidRPr="006449AD">
              <w:t>-contribuţii de asigurări</w:t>
            </w:r>
          </w:p>
        </w:tc>
        <w:tc>
          <w:tcPr>
            <w:tcW w:w="1080" w:type="dxa"/>
          </w:tcPr>
          <w:p w14:paraId="7811CDB2" w14:textId="77777777" w:rsidR="00670C79" w:rsidRPr="006449AD" w:rsidRDefault="00670C79" w:rsidP="006A5A1B">
            <w:pPr>
              <w:pStyle w:val="BodyText2"/>
              <w:rPr>
                <w:sz w:val="24"/>
              </w:rPr>
            </w:pPr>
          </w:p>
        </w:tc>
        <w:tc>
          <w:tcPr>
            <w:tcW w:w="900" w:type="dxa"/>
          </w:tcPr>
          <w:p w14:paraId="5E0D1921" w14:textId="77777777" w:rsidR="00670C79" w:rsidRPr="006449AD" w:rsidRDefault="00670C79" w:rsidP="006A5A1B">
            <w:pPr>
              <w:pStyle w:val="BodyText2"/>
              <w:rPr>
                <w:sz w:val="24"/>
              </w:rPr>
            </w:pPr>
          </w:p>
        </w:tc>
        <w:tc>
          <w:tcPr>
            <w:tcW w:w="1080" w:type="dxa"/>
          </w:tcPr>
          <w:p w14:paraId="3789DD62" w14:textId="77777777" w:rsidR="00670C79" w:rsidRPr="006449AD" w:rsidRDefault="00670C79" w:rsidP="006A5A1B">
            <w:pPr>
              <w:pStyle w:val="BodyText2"/>
              <w:rPr>
                <w:sz w:val="24"/>
              </w:rPr>
            </w:pPr>
          </w:p>
        </w:tc>
        <w:tc>
          <w:tcPr>
            <w:tcW w:w="1080" w:type="dxa"/>
          </w:tcPr>
          <w:p w14:paraId="3EFEBCA3" w14:textId="77777777" w:rsidR="00670C79" w:rsidRPr="006449AD" w:rsidRDefault="00670C79" w:rsidP="006A5A1B">
            <w:pPr>
              <w:pStyle w:val="BodyText2"/>
              <w:rPr>
                <w:sz w:val="24"/>
              </w:rPr>
            </w:pPr>
          </w:p>
        </w:tc>
        <w:tc>
          <w:tcPr>
            <w:tcW w:w="1260" w:type="dxa"/>
          </w:tcPr>
          <w:p w14:paraId="4D97905B" w14:textId="77777777" w:rsidR="00670C79" w:rsidRPr="006449AD" w:rsidRDefault="00670C79" w:rsidP="006A5A1B">
            <w:pPr>
              <w:pStyle w:val="BodyText2"/>
              <w:rPr>
                <w:sz w:val="24"/>
              </w:rPr>
            </w:pPr>
          </w:p>
        </w:tc>
        <w:tc>
          <w:tcPr>
            <w:tcW w:w="1980" w:type="dxa"/>
          </w:tcPr>
          <w:p w14:paraId="4A89D66A" w14:textId="77777777" w:rsidR="00670C79" w:rsidRPr="006449AD" w:rsidRDefault="00670C79" w:rsidP="006A5A1B">
            <w:pPr>
              <w:pStyle w:val="BodyText2"/>
              <w:rPr>
                <w:sz w:val="24"/>
              </w:rPr>
            </w:pPr>
          </w:p>
        </w:tc>
      </w:tr>
      <w:tr w:rsidR="006449AD" w:rsidRPr="006449AD" w14:paraId="126F1061" w14:textId="77777777" w:rsidTr="006A5A1B">
        <w:tc>
          <w:tcPr>
            <w:tcW w:w="2880" w:type="dxa"/>
          </w:tcPr>
          <w:p w14:paraId="2AD4C393" w14:textId="77777777" w:rsidR="00670C79" w:rsidRPr="006449AD" w:rsidRDefault="00670C79" w:rsidP="00085904">
            <w:pPr>
              <w:jc w:val="both"/>
            </w:pPr>
            <w:r w:rsidRPr="006449AD">
              <w:t>2.Modificări ale cheltuielilor bugetare din care:</w:t>
            </w:r>
          </w:p>
          <w:p w14:paraId="3F5FB5D8" w14:textId="77777777" w:rsidR="00670C79" w:rsidRPr="006449AD" w:rsidRDefault="00670C79" w:rsidP="00085904">
            <w:pPr>
              <w:jc w:val="both"/>
            </w:pPr>
            <w:r w:rsidRPr="006449AD">
              <w:t>a)bugetul de stat, din acesta:</w:t>
            </w:r>
          </w:p>
          <w:p w14:paraId="55CFF855" w14:textId="77777777" w:rsidR="00670C79" w:rsidRPr="006449AD" w:rsidRDefault="00670C79" w:rsidP="00085904">
            <w:pPr>
              <w:jc w:val="both"/>
            </w:pPr>
            <w:r w:rsidRPr="006449AD">
              <w:t>-cheltuieli de personal</w:t>
            </w:r>
          </w:p>
          <w:p w14:paraId="2676BF0E" w14:textId="77777777" w:rsidR="00670C79" w:rsidRPr="006449AD" w:rsidRDefault="00670C79" w:rsidP="00085904">
            <w:pPr>
              <w:jc w:val="both"/>
            </w:pPr>
            <w:r w:rsidRPr="006449AD">
              <w:t>-bunuri şi servicii</w:t>
            </w:r>
          </w:p>
          <w:p w14:paraId="348C3E53" w14:textId="77777777" w:rsidR="00670C79" w:rsidRPr="006449AD" w:rsidRDefault="00670C79" w:rsidP="00085904">
            <w:pPr>
              <w:jc w:val="both"/>
            </w:pPr>
            <w:r w:rsidRPr="006449AD">
              <w:t>b)bugete locale:</w:t>
            </w:r>
          </w:p>
          <w:p w14:paraId="033FBF83" w14:textId="77777777" w:rsidR="00670C79" w:rsidRPr="006449AD" w:rsidRDefault="00670C79" w:rsidP="00085904">
            <w:pPr>
              <w:jc w:val="both"/>
            </w:pPr>
            <w:r w:rsidRPr="006449AD">
              <w:t>-cheltuieli de personal</w:t>
            </w:r>
          </w:p>
          <w:p w14:paraId="3FA2B166" w14:textId="77777777" w:rsidR="00670C79" w:rsidRPr="006449AD" w:rsidRDefault="00670C79" w:rsidP="00085904">
            <w:pPr>
              <w:jc w:val="both"/>
            </w:pPr>
            <w:r w:rsidRPr="006449AD">
              <w:t>-bunuri şi servicii</w:t>
            </w:r>
          </w:p>
          <w:p w14:paraId="5F7C615C" w14:textId="77777777" w:rsidR="00670C79" w:rsidRPr="006449AD" w:rsidRDefault="00670C79" w:rsidP="00085904">
            <w:pPr>
              <w:jc w:val="both"/>
            </w:pPr>
            <w:r w:rsidRPr="006449AD">
              <w:t>c)bugetul asigurărilor sociale</w:t>
            </w:r>
          </w:p>
          <w:p w14:paraId="41AFE5F5" w14:textId="77777777" w:rsidR="00670C79" w:rsidRPr="006449AD" w:rsidRDefault="00670C79" w:rsidP="00085904">
            <w:pPr>
              <w:jc w:val="both"/>
            </w:pPr>
            <w:r w:rsidRPr="006449AD">
              <w:t>-cheltuieli de personal</w:t>
            </w:r>
          </w:p>
          <w:p w14:paraId="1415B230" w14:textId="77777777" w:rsidR="00670C79" w:rsidRPr="006449AD" w:rsidRDefault="00670C79" w:rsidP="00085904">
            <w:pPr>
              <w:jc w:val="both"/>
            </w:pPr>
            <w:r w:rsidRPr="006449AD">
              <w:t>-bunuri şi servicii</w:t>
            </w:r>
          </w:p>
        </w:tc>
        <w:tc>
          <w:tcPr>
            <w:tcW w:w="1080" w:type="dxa"/>
          </w:tcPr>
          <w:p w14:paraId="1F61882C" w14:textId="77777777" w:rsidR="00670C79" w:rsidRPr="006449AD" w:rsidRDefault="00670C79" w:rsidP="006A5A1B">
            <w:pPr>
              <w:jc w:val="both"/>
            </w:pPr>
          </w:p>
          <w:p w14:paraId="7BB1C451" w14:textId="77777777" w:rsidR="00670C79" w:rsidRPr="006449AD" w:rsidRDefault="00670C79" w:rsidP="006A5A1B">
            <w:pPr>
              <w:jc w:val="both"/>
            </w:pPr>
          </w:p>
        </w:tc>
        <w:tc>
          <w:tcPr>
            <w:tcW w:w="900" w:type="dxa"/>
          </w:tcPr>
          <w:p w14:paraId="6DC54A70" w14:textId="77777777" w:rsidR="00670C79" w:rsidRPr="006449AD" w:rsidRDefault="00670C79" w:rsidP="006A5A1B"/>
          <w:p w14:paraId="44C5A3FF" w14:textId="77777777" w:rsidR="00670C79" w:rsidRPr="006449AD" w:rsidRDefault="00670C79" w:rsidP="006A5A1B"/>
        </w:tc>
        <w:tc>
          <w:tcPr>
            <w:tcW w:w="1080" w:type="dxa"/>
          </w:tcPr>
          <w:p w14:paraId="6D314A78" w14:textId="77777777" w:rsidR="00670C79" w:rsidRPr="006449AD" w:rsidRDefault="00670C79" w:rsidP="006A5A1B"/>
          <w:p w14:paraId="1702DFD2" w14:textId="77777777" w:rsidR="00670C79" w:rsidRPr="006449AD" w:rsidRDefault="00670C79" w:rsidP="006A5A1B">
            <w:r w:rsidRPr="006449AD">
              <w:t xml:space="preserve"> </w:t>
            </w:r>
          </w:p>
        </w:tc>
        <w:tc>
          <w:tcPr>
            <w:tcW w:w="1080" w:type="dxa"/>
          </w:tcPr>
          <w:p w14:paraId="64514970" w14:textId="77777777" w:rsidR="00670C79" w:rsidRPr="006449AD" w:rsidRDefault="00670C79" w:rsidP="006A5A1B"/>
          <w:p w14:paraId="1D7B38D6" w14:textId="77777777" w:rsidR="00670C79" w:rsidRPr="006449AD" w:rsidRDefault="00670C79" w:rsidP="006A5A1B"/>
        </w:tc>
        <w:tc>
          <w:tcPr>
            <w:tcW w:w="1260" w:type="dxa"/>
          </w:tcPr>
          <w:p w14:paraId="1B4039D8" w14:textId="77777777" w:rsidR="00670C79" w:rsidRPr="006449AD" w:rsidRDefault="00670C79" w:rsidP="006A5A1B"/>
          <w:p w14:paraId="09F7CD9E" w14:textId="77777777" w:rsidR="00670C79" w:rsidRPr="006449AD" w:rsidRDefault="00670C79" w:rsidP="006A5A1B"/>
        </w:tc>
        <w:tc>
          <w:tcPr>
            <w:tcW w:w="1980" w:type="dxa"/>
          </w:tcPr>
          <w:p w14:paraId="0297D814" w14:textId="77777777" w:rsidR="00670C79" w:rsidRPr="006449AD" w:rsidRDefault="00670C79" w:rsidP="006A5A1B"/>
          <w:p w14:paraId="16493B27" w14:textId="77777777" w:rsidR="00670C79" w:rsidRPr="006449AD" w:rsidRDefault="00670C79" w:rsidP="006A5A1B"/>
        </w:tc>
      </w:tr>
      <w:tr w:rsidR="006449AD" w:rsidRPr="006449AD" w14:paraId="260B3CE9" w14:textId="77777777" w:rsidTr="006A5A1B">
        <w:tc>
          <w:tcPr>
            <w:tcW w:w="2880" w:type="dxa"/>
          </w:tcPr>
          <w:p w14:paraId="49D40F1D" w14:textId="77777777" w:rsidR="00670C79" w:rsidRPr="006449AD" w:rsidRDefault="00670C79" w:rsidP="00085904">
            <w:pPr>
              <w:jc w:val="both"/>
            </w:pPr>
            <w:r w:rsidRPr="006449AD">
              <w:t>3.Impact financiar, plus/minus, din care:</w:t>
            </w:r>
          </w:p>
          <w:p w14:paraId="67549603" w14:textId="77777777" w:rsidR="00670C79" w:rsidRPr="006449AD" w:rsidRDefault="00670C79" w:rsidP="00085904">
            <w:pPr>
              <w:jc w:val="both"/>
            </w:pPr>
            <w:r w:rsidRPr="006449AD">
              <w:t>a) buget de stat</w:t>
            </w:r>
          </w:p>
          <w:p w14:paraId="330BE00F" w14:textId="77777777" w:rsidR="00670C79" w:rsidRPr="006449AD" w:rsidRDefault="00670C79" w:rsidP="00085904">
            <w:pPr>
              <w:jc w:val="both"/>
            </w:pPr>
            <w:r w:rsidRPr="006449AD">
              <w:t>b)bugete locale</w:t>
            </w:r>
          </w:p>
        </w:tc>
        <w:tc>
          <w:tcPr>
            <w:tcW w:w="7380" w:type="dxa"/>
            <w:gridSpan w:val="6"/>
            <w:vAlign w:val="center"/>
          </w:tcPr>
          <w:p w14:paraId="699F79A9" w14:textId="77777777" w:rsidR="00670C79" w:rsidRPr="006449AD" w:rsidRDefault="00670C79" w:rsidP="006A5A1B">
            <w:r w:rsidRPr="006449AD">
              <w:rPr>
                <w:noProof/>
              </w:rPr>
              <w:t>Proiectul de act normativ nu se referă la acest subiect.</w:t>
            </w:r>
          </w:p>
        </w:tc>
      </w:tr>
      <w:tr w:rsidR="006449AD" w:rsidRPr="006449AD" w14:paraId="675CE50B" w14:textId="77777777" w:rsidTr="006A5A1B">
        <w:tc>
          <w:tcPr>
            <w:tcW w:w="2880" w:type="dxa"/>
          </w:tcPr>
          <w:p w14:paraId="182C7B6E" w14:textId="77777777" w:rsidR="00670C79" w:rsidRPr="006449AD" w:rsidRDefault="00670C79" w:rsidP="006A5A1B">
            <w:r w:rsidRPr="006449AD">
              <w:t xml:space="preserve">4. Propuneri pentru </w:t>
            </w:r>
          </w:p>
          <w:p w14:paraId="7D87FB0E" w14:textId="77777777" w:rsidR="00670C79" w:rsidRPr="006449AD" w:rsidRDefault="00670C79" w:rsidP="006A5A1B">
            <w:r w:rsidRPr="006449AD">
              <w:t>acoperirea creşterilor de cheltuieli</w:t>
            </w:r>
          </w:p>
        </w:tc>
        <w:tc>
          <w:tcPr>
            <w:tcW w:w="7380" w:type="dxa"/>
            <w:gridSpan w:val="6"/>
            <w:vAlign w:val="center"/>
          </w:tcPr>
          <w:p w14:paraId="64B74EF4" w14:textId="77777777" w:rsidR="00670C79" w:rsidRPr="006449AD" w:rsidRDefault="00670C79" w:rsidP="006A5A1B">
            <w:pPr>
              <w:rPr>
                <w:noProof/>
              </w:rPr>
            </w:pPr>
            <w:r w:rsidRPr="006449AD">
              <w:rPr>
                <w:noProof/>
              </w:rPr>
              <w:t>Proiectul de act normativ nu se referă la acest subiect.</w:t>
            </w:r>
          </w:p>
        </w:tc>
      </w:tr>
      <w:tr w:rsidR="006449AD" w:rsidRPr="006449AD" w14:paraId="0436F908" w14:textId="77777777" w:rsidTr="006A5A1B">
        <w:tc>
          <w:tcPr>
            <w:tcW w:w="2880" w:type="dxa"/>
          </w:tcPr>
          <w:p w14:paraId="71CBC13E" w14:textId="77777777" w:rsidR="00670C79" w:rsidRPr="006449AD" w:rsidRDefault="00670C79" w:rsidP="006A5A1B">
            <w:r w:rsidRPr="006449AD">
              <w:t>5. Propuneri pentru acoperirea scăderilor  de venituri</w:t>
            </w:r>
          </w:p>
        </w:tc>
        <w:tc>
          <w:tcPr>
            <w:tcW w:w="7380" w:type="dxa"/>
            <w:gridSpan w:val="6"/>
            <w:vAlign w:val="center"/>
          </w:tcPr>
          <w:p w14:paraId="30C15718" w14:textId="77777777" w:rsidR="00670C79" w:rsidRPr="006449AD" w:rsidRDefault="00670C79" w:rsidP="006A5A1B">
            <w:pPr>
              <w:spacing w:line="360" w:lineRule="auto"/>
              <w:rPr>
                <w:noProof/>
              </w:rPr>
            </w:pPr>
            <w:r w:rsidRPr="006449AD">
              <w:rPr>
                <w:noProof/>
              </w:rPr>
              <w:t>Proiectul de act normativ nu se referă la acest subiect.</w:t>
            </w:r>
          </w:p>
        </w:tc>
      </w:tr>
      <w:tr w:rsidR="006449AD" w:rsidRPr="006449AD" w14:paraId="47075FD6" w14:textId="77777777" w:rsidTr="006A5A1B">
        <w:tc>
          <w:tcPr>
            <w:tcW w:w="2880" w:type="dxa"/>
          </w:tcPr>
          <w:p w14:paraId="4BFC5C0E" w14:textId="77777777" w:rsidR="00670C79" w:rsidRPr="006449AD" w:rsidRDefault="00670C79" w:rsidP="006A5A1B">
            <w:r w:rsidRPr="006449AD">
              <w:t>6. Calcule detaliate privind fundamentarea modificărilor  veniturilor şi/sau cheltuielilor bugetare</w:t>
            </w:r>
          </w:p>
        </w:tc>
        <w:tc>
          <w:tcPr>
            <w:tcW w:w="7380" w:type="dxa"/>
            <w:gridSpan w:val="6"/>
            <w:vAlign w:val="center"/>
          </w:tcPr>
          <w:p w14:paraId="2B646F1C" w14:textId="77777777" w:rsidR="00670C79" w:rsidRPr="006449AD" w:rsidRDefault="00670C79" w:rsidP="006A5A1B">
            <w:pPr>
              <w:spacing w:line="360" w:lineRule="auto"/>
              <w:rPr>
                <w:noProof/>
              </w:rPr>
            </w:pPr>
            <w:r w:rsidRPr="006449AD">
              <w:rPr>
                <w:noProof/>
              </w:rPr>
              <w:t>Proiectul de act normativ nu se referă la acest subiect.</w:t>
            </w:r>
          </w:p>
        </w:tc>
      </w:tr>
      <w:tr w:rsidR="006449AD" w:rsidRPr="006449AD" w14:paraId="134CE0E5" w14:textId="77777777" w:rsidTr="006A5A1B">
        <w:tc>
          <w:tcPr>
            <w:tcW w:w="2880" w:type="dxa"/>
          </w:tcPr>
          <w:p w14:paraId="00F46658" w14:textId="77777777" w:rsidR="00670C79" w:rsidRPr="006449AD" w:rsidRDefault="00670C79" w:rsidP="006A5A1B">
            <w:r w:rsidRPr="006449AD">
              <w:t>7. Alte informaţii</w:t>
            </w:r>
          </w:p>
        </w:tc>
        <w:tc>
          <w:tcPr>
            <w:tcW w:w="7380" w:type="dxa"/>
            <w:gridSpan w:val="6"/>
          </w:tcPr>
          <w:p w14:paraId="3B06EA07" w14:textId="77777777" w:rsidR="00670C79" w:rsidRPr="006449AD" w:rsidRDefault="00670C79" w:rsidP="006A5A1B">
            <w:r w:rsidRPr="006449AD">
              <w:t>Nu au fost identificate.</w:t>
            </w:r>
          </w:p>
        </w:tc>
      </w:tr>
    </w:tbl>
    <w:p w14:paraId="7E1BCAF6" w14:textId="7F0CEA1D" w:rsidR="00670C79" w:rsidRDefault="00670C79" w:rsidP="00670C79">
      <w:pPr>
        <w:jc w:val="both"/>
        <w:rPr>
          <w:b/>
        </w:rPr>
      </w:pPr>
      <w:r w:rsidRPr="006449AD">
        <w:rPr>
          <w:b/>
        </w:rPr>
        <w:lastRenderedPageBreak/>
        <w:t xml:space="preserve">   Secţiunea a 5-a - Efectele proiectului de act normativ asupra legislaţiei în vigoare</w:t>
      </w:r>
    </w:p>
    <w:p w14:paraId="52A6F62D" w14:textId="77777777" w:rsidR="00CB78C4" w:rsidRDefault="00CB78C4" w:rsidP="00670C79">
      <w:pPr>
        <w:jc w:val="both"/>
        <w:rPr>
          <w:b/>
        </w:rPr>
      </w:pPr>
    </w:p>
    <w:p w14:paraId="39168E24" w14:textId="77777777" w:rsidR="00CB78C4" w:rsidRPr="006449AD" w:rsidRDefault="00CB78C4" w:rsidP="00670C79">
      <w:pPr>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6449AD" w:rsidRPr="006449AD" w14:paraId="327176B4" w14:textId="77777777" w:rsidTr="00527866">
        <w:trPr>
          <w:trHeight w:val="561"/>
        </w:trPr>
        <w:tc>
          <w:tcPr>
            <w:tcW w:w="5040" w:type="dxa"/>
          </w:tcPr>
          <w:p w14:paraId="0B464A83" w14:textId="77777777" w:rsidR="00670C79" w:rsidRPr="006449AD" w:rsidRDefault="00670C79" w:rsidP="006A5A1B">
            <w:pPr>
              <w:jc w:val="both"/>
            </w:pPr>
            <w:r w:rsidRPr="006449AD">
              <w:t>1.Măsuri normative necesare pentru aplicarea prevederilor proiectului de act normativ:</w:t>
            </w:r>
          </w:p>
          <w:p w14:paraId="22A542E8" w14:textId="77777777" w:rsidR="00670C79" w:rsidRPr="006449AD" w:rsidRDefault="00670C79" w:rsidP="00085904">
            <w:pPr>
              <w:jc w:val="both"/>
            </w:pPr>
            <w:r w:rsidRPr="006449AD">
              <w:t>a) acte normative în vigoare ce vor fi modificate sau abrogate, ca urmare a intrării în vigoare a proiectului de act normativ;</w:t>
            </w:r>
          </w:p>
          <w:p w14:paraId="3904846A" w14:textId="77777777" w:rsidR="00527866" w:rsidRPr="006449AD" w:rsidRDefault="00670C79" w:rsidP="00085904">
            <w:pPr>
              <w:jc w:val="both"/>
            </w:pPr>
            <w:r w:rsidRPr="006449AD">
              <w:t>b) acte normative ce urmează a fi elaborate în vederea implementării noilor dispoziţii.</w:t>
            </w:r>
          </w:p>
          <w:p w14:paraId="7D58B0F1" w14:textId="77777777" w:rsidR="00670C79" w:rsidRPr="006449AD" w:rsidRDefault="00670C79" w:rsidP="00527866"/>
        </w:tc>
        <w:tc>
          <w:tcPr>
            <w:tcW w:w="5220" w:type="dxa"/>
          </w:tcPr>
          <w:p w14:paraId="4E8916F8" w14:textId="54F5DDF9" w:rsidR="00670C79" w:rsidRPr="006449AD" w:rsidRDefault="0037559F" w:rsidP="006A5A1B">
            <w:pPr>
              <w:jc w:val="both"/>
              <w:rPr>
                <w:lang w:val="en-US"/>
              </w:rPr>
            </w:pPr>
            <w:r w:rsidRPr="006449AD">
              <w:t>În termen de 30 de zile de la intrarea în vigoare a ordonanței de urgență vor fi modificate următoarele acte normative</w:t>
            </w:r>
            <w:r w:rsidRPr="006449AD">
              <w:rPr>
                <w:lang w:val="en-US"/>
              </w:rPr>
              <w:t>:</w:t>
            </w:r>
          </w:p>
          <w:p w14:paraId="77518307" w14:textId="0E7315A7" w:rsidR="0037559F" w:rsidRPr="006449AD" w:rsidRDefault="0037559F" w:rsidP="00161A61">
            <w:pPr>
              <w:pStyle w:val="ListParagraph"/>
              <w:numPr>
                <w:ilvl w:val="0"/>
                <w:numId w:val="3"/>
              </w:numPr>
              <w:tabs>
                <w:tab w:val="left" w:pos="201"/>
              </w:tabs>
              <w:ind w:left="59" w:firstLine="0"/>
              <w:jc w:val="both"/>
              <w:rPr>
                <w:rFonts w:ascii="Times New Roman" w:eastAsia="Times New Roman" w:hAnsi="Times New Roman" w:cs="Times New Roman"/>
              </w:rPr>
            </w:pPr>
            <w:r w:rsidRPr="006449AD">
              <w:rPr>
                <w:rFonts w:ascii="Times New Roman" w:hAnsi="Times New Roman" w:cs="Times New Roman"/>
                <w:lang w:val="en-US"/>
              </w:rPr>
              <w:t xml:space="preserve">HG </w:t>
            </w:r>
            <w:proofErr w:type="spellStart"/>
            <w:r w:rsidRPr="006449AD">
              <w:rPr>
                <w:rFonts w:ascii="Times New Roman" w:hAnsi="Times New Roman" w:cs="Times New Roman"/>
                <w:lang w:val="en-US"/>
              </w:rPr>
              <w:t>nr</w:t>
            </w:r>
            <w:proofErr w:type="spellEnd"/>
            <w:r w:rsidRPr="006449AD">
              <w:rPr>
                <w:rFonts w:ascii="Times New Roman" w:hAnsi="Times New Roman" w:cs="Times New Roman"/>
                <w:lang w:val="en-US"/>
              </w:rPr>
              <w:t>. 519/2014</w:t>
            </w:r>
            <w:r w:rsidR="00161A61" w:rsidRPr="006449AD">
              <w:rPr>
                <w:rFonts w:ascii="Times New Roman" w:hAnsi="Times New Roman" w:cs="Times New Roman"/>
                <w:lang w:val="en-US"/>
              </w:rPr>
              <w:t xml:space="preserve"> </w:t>
            </w:r>
            <w:r w:rsidR="00161A61" w:rsidRPr="006449AD">
              <w:rPr>
                <w:rFonts w:ascii="Times New Roman" w:eastAsia="Times New Roman" w:hAnsi="Times New Roman" w:cs="Times New Roman"/>
                <w:i/>
              </w:rPr>
              <w:t>privind stabilirea ratelor aferente reducerilor procentuale/corecţiilor financiare aplicabile pentru abaterile prevăzute în anexa la </w:t>
            </w:r>
            <w:bookmarkStart w:id="0" w:name="REFsp23rtd4"/>
            <w:bookmarkEnd w:id="0"/>
            <w:r w:rsidR="00161A61" w:rsidRPr="006449AD">
              <w:rPr>
                <w:rFonts w:ascii="Times New Roman" w:eastAsia="Times New Roman" w:hAnsi="Times New Roman" w:cs="Times New Roman"/>
                <w:i/>
              </w:rPr>
              <w:t xml:space="preserve">Ordonanţa de urgenţă a Guvernului nr. 66/2011 privind prevenirea, constatarea şi sancţionarea neregulilor apărute în obţinerea şi utilizarea fondurilor europene şi/sau a fondurilor publice naţionale aferente acestora, </w:t>
            </w:r>
            <w:r w:rsidR="00161A61" w:rsidRPr="006449AD">
              <w:rPr>
                <w:rFonts w:ascii="Times New Roman" w:eastAsia="Times New Roman" w:hAnsi="Times New Roman" w:cs="Times New Roman"/>
              </w:rPr>
              <w:t>cu modificările și completările ulterioare</w:t>
            </w:r>
          </w:p>
          <w:p w14:paraId="69934F18" w14:textId="77777777" w:rsidR="00527866" w:rsidRPr="00707949" w:rsidRDefault="0037559F" w:rsidP="00C005BC">
            <w:pPr>
              <w:pStyle w:val="ListParagraph"/>
              <w:numPr>
                <w:ilvl w:val="0"/>
                <w:numId w:val="3"/>
              </w:numPr>
              <w:tabs>
                <w:tab w:val="left" w:pos="201"/>
              </w:tabs>
              <w:ind w:left="59" w:firstLine="0"/>
              <w:jc w:val="both"/>
              <w:rPr>
                <w:rFonts w:ascii="Times New Roman" w:hAnsi="Times New Roman" w:cs="Times New Roman"/>
              </w:rPr>
            </w:pPr>
            <w:r w:rsidRPr="006449AD">
              <w:rPr>
                <w:rFonts w:ascii="Times New Roman" w:hAnsi="Times New Roman" w:cs="Times New Roman"/>
                <w:lang w:val="en-US"/>
              </w:rPr>
              <w:t xml:space="preserve">HG </w:t>
            </w:r>
            <w:proofErr w:type="spellStart"/>
            <w:r w:rsidRPr="006449AD">
              <w:rPr>
                <w:rFonts w:ascii="Times New Roman" w:hAnsi="Times New Roman" w:cs="Times New Roman"/>
                <w:lang w:val="en-US"/>
              </w:rPr>
              <w:t>nr</w:t>
            </w:r>
            <w:proofErr w:type="spellEnd"/>
            <w:r w:rsidRPr="006449AD">
              <w:rPr>
                <w:rFonts w:ascii="Times New Roman" w:hAnsi="Times New Roman" w:cs="Times New Roman"/>
                <w:lang w:val="en-US"/>
              </w:rPr>
              <w:t>. 93/2016</w:t>
            </w:r>
            <w:r w:rsidR="00C005BC" w:rsidRPr="006449AD">
              <w:rPr>
                <w:rFonts w:ascii="Times New Roman" w:hAnsi="Times New Roman" w:cs="Times New Roman"/>
                <w:lang w:val="en-US"/>
              </w:rPr>
              <w:t xml:space="preserve"> </w:t>
            </w:r>
            <w:r w:rsidR="00C005BC" w:rsidRPr="006449AD">
              <w:rPr>
                <w:rFonts w:ascii="Times New Roman" w:eastAsia="Times New Roman" w:hAnsi="Times New Roman" w:cs="Times New Roman"/>
                <w:i/>
              </w:rPr>
              <w:t xml:space="preserve">pentru aprobarea Normelor metodologice de aplicare a prevederilor Ordonanţei de urgenţă a Guvernului nr. 40/2015 privind gestionarea financiară a fondurilor europene pentru perioada de programare 2014-2020, </w:t>
            </w:r>
            <w:r w:rsidR="00C005BC" w:rsidRPr="006449AD">
              <w:rPr>
                <w:rFonts w:ascii="Times New Roman" w:eastAsia="Times New Roman" w:hAnsi="Times New Roman" w:cs="Times New Roman"/>
              </w:rPr>
              <w:t>cu modificările și completările ulterioare</w:t>
            </w:r>
          </w:p>
          <w:p w14:paraId="7C430706" w14:textId="534E3032" w:rsidR="00707949" w:rsidRPr="006449AD" w:rsidRDefault="00707949" w:rsidP="00C005BC">
            <w:pPr>
              <w:pStyle w:val="ListParagraph"/>
              <w:numPr>
                <w:ilvl w:val="0"/>
                <w:numId w:val="3"/>
              </w:numPr>
              <w:tabs>
                <w:tab w:val="left" w:pos="201"/>
              </w:tabs>
              <w:ind w:left="59" w:firstLine="0"/>
              <w:jc w:val="both"/>
              <w:rPr>
                <w:rFonts w:ascii="Times New Roman" w:hAnsi="Times New Roman" w:cs="Times New Roman"/>
              </w:rPr>
            </w:pPr>
            <w:r w:rsidRPr="00707949">
              <w:rPr>
                <w:rFonts w:ascii="Times New Roman" w:hAnsi="Times New Roman" w:cs="Times New Roman"/>
                <w:lang w:val="en-US"/>
              </w:rPr>
              <w:t xml:space="preserve">Ordinul comun al ministrului transporturilor, al ministrului delegat pentru proiecte de infrastructură și investiții străine, al ministrului fondurilor europene și al ministrului finanțelor publice nr. 842/573/303/845/2013 </w:t>
            </w:r>
            <w:r w:rsidRPr="00707949">
              <w:rPr>
                <w:rFonts w:ascii="Times New Roman" w:hAnsi="Times New Roman" w:cs="Times New Roman"/>
                <w:i/>
                <w:lang w:val="en-US"/>
              </w:rPr>
              <w:t xml:space="preserve">pentru aprobarea Normelor metodologice de aplicare </w:t>
            </w:r>
            <w:proofErr w:type="gramStart"/>
            <w:r w:rsidRPr="00707949">
              <w:rPr>
                <w:rFonts w:ascii="Times New Roman" w:hAnsi="Times New Roman" w:cs="Times New Roman"/>
                <w:i/>
                <w:lang w:val="en-US"/>
              </w:rPr>
              <w:t>a</w:t>
            </w:r>
            <w:proofErr w:type="gramEnd"/>
            <w:r w:rsidRPr="00707949">
              <w:rPr>
                <w:rFonts w:ascii="Times New Roman" w:hAnsi="Times New Roman" w:cs="Times New Roman"/>
                <w:i/>
                <w:lang w:val="en-US"/>
              </w:rPr>
              <w:t> Ordonanței de urgență a Guvernului nr. 47/2013 privind unele măsuri în domeniul instrumentelor structurale care privesc beneficiarii direcți finanțați din fonduri externe nerambursabile, precum și unele măsuri financiare în domeniul ex-ISPA din sectorul transporturi,</w:t>
            </w:r>
            <w:r w:rsidRPr="00707949">
              <w:rPr>
                <w:rFonts w:ascii="Times New Roman" w:hAnsi="Times New Roman" w:cs="Times New Roman"/>
                <w:lang w:val="en-US"/>
              </w:rPr>
              <w:t xml:space="preserve"> cu modificările și completările ulterioare</w:t>
            </w:r>
          </w:p>
        </w:tc>
      </w:tr>
      <w:tr w:rsidR="006449AD" w:rsidRPr="006449AD" w14:paraId="457614B1" w14:textId="77777777" w:rsidTr="006A5A1B">
        <w:trPr>
          <w:trHeight w:val="636"/>
        </w:trPr>
        <w:tc>
          <w:tcPr>
            <w:tcW w:w="5040" w:type="dxa"/>
          </w:tcPr>
          <w:p w14:paraId="45E3A53E" w14:textId="0D1CA120" w:rsidR="00670C79" w:rsidRPr="006449AD" w:rsidRDefault="00670C79" w:rsidP="00085904">
            <w:pPr>
              <w:pStyle w:val="HTMLPreformatted"/>
              <w:shd w:val="clear" w:color="auto" w:fill="FFFFFF"/>
              <w:jc w:val="both"/>
              <w:rPr>
                <w:rFonts w:ascii="Times New Roman" w:hAnsi="Times New Roman" w:cs="Times New Roman"/>
                <w:sz w:val="24"/>
                <w:szCs w:val="24"/>
              </w:rPr>
            </w:pPr>
            <w:r w:rsidRPr="006449AD">
              <w:rPr>
                <w:rFonts w:ascii="Times New Roman" w:hAnsi="Times New Roman" w:cs="Times New Roman"/>
                <w:sz w:val="24"/>
                <w:szCs w:val="24"/>
              </w:rPr>
              <w:t>1^</w:t>
            </w:r>
            <w:proofErr w:type="spellStart"/>
            <w:r w:rsidRPr="006449AD">
              <w:rPr>
                <w:rFonts w:ascii="Times New Roman" w:hAnsi="Times New Roman" w:cs="Times New Roman"/>
                <w:sz w:val="24"/>
                <w:szCs w:val="24"/>
              </w:rPr>
              <w:t>1</w:t>
            </w:r>
            <w:proofErr w:type="spellEnd"/>
            <w:r w:rsidRPr="006449AD">
              <w:rPr>
                <w:rFonts w:ascii="Times New Roman" w:hAnsi="Times New Roman" w:cs="Times New Roman"/>
                <w:sz w:val="24"/>
                <w:szCs w:val="24"/>
              </w:rPr>
              <w:t>. Compatibilitatea proiectului de act normativ cu legislaţia în domeniul achiziţiilor publice</w:t>
            </w:r>
          </w:p>
        </w:tc>
        <w:tc>
          <w:tcPr>
            <w:tcW w:w="5220" w:type="dxa"/>
          </w:tcPr>
          <w:p w14:paraId="49470ACC" w14:textId="77777777" w:rsidR="00670C79" w:rsidRPr="006449AD" w:rsidRDefault="00670C79" w:rsidP="006A5A1B">
            <w:pPr>
              <w:jc w:val="both"/>
            </w:pPr>
            <w:r w:rsidRPr="006449AD">
              <w:t>Proiectul de act normativ nu se referă la acest subiect.</w:t>
            </w:r>
          </w:p>
        </w:tc>
      </w:tr>
      <w:tr w:rsidR="006449AD" w:rsidRPr="006449AD" w14:paraId="787E8B98" w14:textId="77777777" w:rsidTr="006A5A1B">
        <w:tc>
          <w:tcPr>
            <w:tcW w:w="5040" w:type="dxa"/>
          </w:tcPr>
          <w:p w14:paraId="5E04A94F" w14:textId="77777777" w:rsidR="00670C79" w:rsidRPr="006449AD" w:rsidRDefault="00670C79" w:rsidP="006A5A1B">
            <w:pPr>
              <w:jc w:val="both"/>
            </w:pPr>
            <w:r w:rsidRPr="006449AD">
              <w:t>2. Conformitatea  proiectului de act normativ cu legislaţia comunitară în cazul proiectelor ce transpun prevederi comunitare</w:t>
            </w:r>
          </w:p>
        </w:tc>
        <w:tc>
          <w:tcPr>
            <w:tcW w:w="5220" w:type="dxa"/>
            <w:vAlign w:val="center"/>
          </w:tcPr>
          <w:p w14:paraId="73E021D3" w14:textId="77777777" w:rsidR="00670C79" w:rsidRPr="006449AD" w:rsidRDefault="00670C79" w:rsidP="006A5A1B">
            <w:pPr>
              <w:jc w:val="both"/>
            </w:pPr>
            <w:r w:rsidRPr="006449AD">
              <w:t>Proiectul de act normativ nu se referă la acest subiect.</w:t>
            </w:r>
          </w:p>
        </w:tc>
      </w:tr>
      <w:tr w:rsidR="006449AD" w:rsidRPr="006449AD" w14:paraId="64CA1687" w14:textId="77777777" w:rsidTr="006A5A1B">
        <w:tc>
          <w:tcPr>
            <w:tcW w:w="5040" w:type="dxa"/>
          </w:tcPr>
          <w:p w14:paraId="29BE2E72" w14:textId="77777777" w:rsidR="00670C79" w:rsidRPr="006449AD" w:rsidRDefault="00670C79" w:rsidP="00085904">
            <w:pPr>
              <w:jc w:val="both"/>
            </w:pPr>
            <w:r w:rsidRPr="006449AD">
              <w:t>4. Hotărâri ale Curţii de Justiţie a Uniunii Europene</w:t>
            </w:r>
          </w:p>
        </w:tc>
        <w:tc>
          <w:tcPr>
            <w:tcW w:w="5220" w:type="dxa"/>
            <w:vAlign w:val="center"/>
          </w:tcPr>
          <w:p w14:paraId="0008985F" w14:textId="77777777" w:rsidR="00670C79" w:rsidRPr="006449AD" w:rsidRDefault="00670C79" w:rsidP="006A5A1B">
            <w:pPr>
              <w:jc w:val="both"/>
            </w:pPr>
            <w:r w:rsidRPr="006449AD">
              <w:t>Proiectul de act normativ nu se referă la acest subiect.</w:t>
            </w:r>
          </w:p>
        </w:tc>
      </w:tr>
      <w:tr w:rsidR="006449AD" w:rsidRPr="006449AD" w14:paraId="107AD4C3" w14:textId="77777777" w:rsidTr="006A5A1B">
        <w:tc>
          <w:tcPr>
            <w:tcW w:w="5040" w:type="dxa"/>
          </w:tcPr>
          <w:p w14:paraId="37CF24B8" w14:textId="77777777" w:rsidR="00670C79" w:rsidRPr="006449AD" w:rsidRDefault="00670C79" w:rsidP="00085904">
            <w:pPr>
              <w:jc w:val="both"/>
            </w:pPr>
            <w:r w:rsidRPr="006449AD">
              <w:t>5. Alte acte normative şi/sau documente internaţionale din care decurg angajamente</w:t>
            </w:r>
          </w:p>
        </w:tc>
        <w:tc>
          <w:tcPr>
            <w:tcW w:w="5220" w:type="dxa"/>
            <w:vAlign w:val="center"/>
          </w:tcPr>
          <w:p w14:paraId="20C068A2" w14:textId="77777777" w:rsidR="00670C79" w:rsidRPr="006449AD" w:rsidRDefault="00670C79" w:rsidP="006A5A1B">
            <w:pPr>
              <w:jc w:val="both"/>
            </w:pPr>
            <w:r w:rsidRPr="006449AD">
              <w:t>Proiectul de act normativ nu se referă la acest subiect.</w:t>
            </w:r>
          </w:p>
        </w:tc>
      </w:tr>
      <w:tr w:rsidR="00670C79" w:rsidRPr="006449AD" w14:paraId="56F5B91F" w14:textId="77777777" w:rsidTr="006A5A1B">
        <w:tc>
          <w:tcPr>
            <w:tcW w:w="5040" w:type="dxa"/>
          </w:tcPr>
          <w:p w14:paraId="5341025F" w14:textId="77777777" w:rsidR="00670C79" w:rsidRPr="006449AD" w:rsidRDefault="00670C79" w:rsidP="00085904">
            <w:pPr>
              <w:jc w:val="both"/>
            </w:pPr>
            <w:r w:rsidRPr="006449AD">
              <w:t>6.Alte informaţii</w:t>
            </w:r>
          </w:p>
        </w:tc>
        <w:tc>
          <w:tcPr>
            <w:tcW w:w="5220" w:type="dxa"/>
            <w:vAlign w:val="center"/>
          </w:tcPr>
          <w:p w14:paraId="0004E5EF" w14:textId="77777777" w:rsidR="00670C79" w:rsidRPr="006449AD" w:rsidRDefault="00670C79" w:rsidP="006A5A1B">
            <w:pPr>
              <w:jc w:val="both"/>
            </w:pPr>
            <w:r w:rsidRPr="006449AD">
              <w:t>Nu au fost identificate.</w:t>
            </w:r>
          </w:p>
        </w:tc>
      </w:tr>
    </w:tbl>
    <w:p w14:paraId="4113E59E" w14:textId="77777777" w:rsidR="00670C79" w:rsidRDefault="00670C79" w:rsidP="00670C79">
      <w:pPr>
        <w:jc w:val="center"/>
        <w:rPr>
          <w:b/>
        </w:rPr>
      </w:pPr>
      <w:r w:rsidRPr="006449AD">
        <w:rPr>
          <w:b/>
        </w:rPr>
        <w:t>6. Consultările efectuate în vederea elaborării proiectului de act normativ</w:t>
      </w:r>
    </w:p>
    <w:p w14:paraId="12C0BF56" w14:textId="77777777" w:rsidR="00CB78C4" w:rsidRPr="006449AD" w:rsidRDefault="00CB78C4" w:rsidP="00670C79">
      <w:pPr>
        <w:jc w:val="center"/>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6449AD" w:rsidRPr="006449AD" w14:paraId="65D4A307" w14:textId="77777777" w:rsidTr="006A5A1B">
        <w:tc>
          <w:tcPr>
            <w:tcW w:w="5040" w:type="dxa"/>
          </w:tcPr>
          <w:p w14:paraId="335CB085" w14:textId="77777777" w:rsidR="00670C79" w:rsidRPr="006449AD" w:rsidRDefault="00670C79" w:rsidP="006A5A1B">
            <w:pPr>
              <w:jc w:val="both"/>
            </w:pPr>
            <w:r w:rsidRPr="006449AD">
              <w:t xml:space="preserve">1.Informaţii privind procesul de consultare cu organizaţii neguvernamentale, instituite de </w:t>
            </w:r>
            <w:r w:rsidRPr="006449AD">
              <w:lastRenderedPageBreak/>
              <w:t>cercetare şi alte organisme implicate</w:t>
            </w:r>
          </w:p>
        </w:tc>
        <w:tc>
          <w:tcPr>
            <w:tcW w:w="5220" w:type="dxa"/>
          </w:tcPr>
          <w:p w14:paraId="05ECBB28" w14:textId="77777777" w:rsidR="00670C79" w:rsidRPr="006449AD" w:rsidRDefault="00670C79" w:rsidP="006A5A1B">
            <w:pPr>
              <w:jc w:val="both"/>
            </w:pPr>
            <w:r w:rsidRPr="006449AD">
              <w:lastRenderedPageBreak/>
              <w:t xml:space="preserve"> </w:t>
            </w:r>
          </w:p>
        </w:tc>
      </w:tr>
      <w:tr w:rsidR="006449AD" w:rsidRPr="006449AD" w14:paraId="16D0661E" w14:textId="77777777" w:rsidTr="006A5A1B">
        <w:tc>
          <w:tcPr>
            <w:tcW w:w="5040" w:type="dxa"/>
          </w:tcPr>
          <w:p w14:paraId="297F37E9" w14:textId="77777777" w:rsidR="00670C79" w:rsidRPr="006449AD" w:rsidRDefault="00670C79" w:rsidP="006A5A1B">
            <w:pPr>
              <w:jc w:val="both"/>
            </w:pPr>
            <w:r w:rsidRPr="006449AD">
              <w:lastRenderedPageBreak/>
              <w:t>2.Fundamentarea alegerii organizaţiilor cu care a avut loc consultarea, precum şi a modului în care activitatea acestor organizaţii este legată de obiectivul proiectului de act normativ</w:t>
            </w:r>
          </w:p>
        </w:tc>
        <w:tc>
          <w:tcPr>
            <w:tcW w:w="5220" w:type="dxa"/>
            <w:vAlign w:val="center"/>
          </w:tcPr>
          <w:p w14:paraId="10909C7F" w14:textId="77777777" w:rsidR="00670C79" w:rsidRPr="006449AD" w:rsidRDefault="00670C79" w:rsidP="006A5A1B">
            <w:pPr>
              <w:spacing w:line="360" w:lineRule="auto"/>
            </w:pPr>
            <w:r w:rsidRPr="006449AD">
              <w:t>Proiectul de act normativ nu se referă la acest subiect.</w:t>
            </w:r>
          </w:p>
        </w:tc>
      </w:tr>
      <w:tr w:rsidR="006449AD" w:rsidRPr="006449AD" w14:paraId="19A2A59D" w14:textId="77777777" w:rsidTr="006A5A1B">
        <w:tc>
          <w:tcPr>
            <w:tcW w:w="5040" w:type="dxa"/>
          </w:tcPr>
          <w:p w14:paraId="53EA464B" w14:textId="77777777" w:rsidR="00670C79" w:rsidRPr="006449AD" w:rsidRDefault="00670C79" w:rsidP="006A5A1B">
            <w:pPr>
              <w:jc w:val="both"/>
            </w:pPr>
            <w:r w:rsidRPr="006449AD">
              <w:t>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5220" w:type="dxa"/>
            <w:vAlign w:val="center"/>
          </w:tcPr>
          <w:p w14:paraId="5D978A54" w14:textId="10AFBB9F" w:rsidR="00670C79" w:rsidRPr="006449AD" w:rsidRDefault="00275947" w:rsidP="006A5A1B">
            <w:pPr>
              <w:jc w:val="both"/>
            </w:pPr>
            <w:r>
              <w:t>Având în vedere</w:t>
            </w:r>
            <w:r w:rsidRPr="00B64371">
              <w:t xml:space="preserve"> prevederile </w:t>
            </w:r>
            <w:r>
              <w:t>Hotărârii</w:t>
            </w:r>
            <w:r w:rsidRPr="00B64371">
              <w:t xml:space="preserve"> Guvernului nr. 521/2005 privind procedura de consultare a structurilor asociative ale autorităţilor administraţiei publice locale la elaborarea proiectelor de acte normative, cu modificările ulterioare, </w:t>
            </w:r>
            <w:r>
              <w:t>s-a procedat la consultarea structurilor asociative.</w:t>
            </w:r>
          </w:p>
        </w:tc>
      </w:tr>
      <w:tr w:rsidR="006449AD" w:rsidRPr="006449AD" w14:paraId="0D4EB37E" w14:textId="77777777" w:rsidTr="006A5A1B">
        <w:tc>
          <w:tcPr>
            <w:tcW w:w="5040" w:type="dxa"/>
          </w:tcPr>
          <w:p w14:paraId="0FB83D7F" w14:textId="77777777" w:rsidR="00670C79" w:rsidRPr="006449AD" w:rsidRDefault="00670C79" w:rsidP="00E20EAD">
            <w:pPr>
              <w:jc w:val="both"/>
            </w:pPr>
            <w:r w:rsidRPr="006449AD">
              <w:t>4.Consultările desfăşurate în cadrul consiliilor interministeriale, în conformitate cu prevederile Hotărârii Guvernului nr. 750/2005 privind constituirea consiliilor interministeriale permanente</w:t>
            </w:r>
          </w:p>
        </w:tc>
        <w:tc>
          <w:tcPr>
            <w:tcW w:w="5220" w:type="dxa"/>
            <w:vAlign w:val="center"/>
          </w:tcPr>
          <w:p w14:paraId="2A1BF33A" w14:textId="77777777" w:rsidR="00670C79" w:rsidRPr="006449AD" w:rsidRDefault="00670C79" w:rsidP="006A5A1B">
            <w:pPr>
              <w:jc w:val="both"/>
            </w:pPr>
            <w:r w:rsidRPr="006449AD">
              <w:t>Proiectul de act normativ nu se referă la acest subiect.</w:t>
            </w:r>
          </w:p>
        </w:tc>
      </w:tr>
      <w:tr w:rsidR="006449AD" w:rsidRPr="006449AD" w14:paraId="5B65EE0A" w14:textId="77777777" w:rsidTr="006A5A1B">
        <w:tc>
          <w:tcPr>
            <w:tcW w:w="5040" w:type="dxa"/>
          </w:tcPr>
          <w:p w14:paraId="1F489DD3" w14:textId="77777777" w:rsidR="00670C79" w:rsidRPr="006449AD" w:rsidRDefault="00670C79" w:rsidP="006A5A1B">
            <w:r w:rsidRPr="006449AD">
              <w:t>5.Informaţii privind avizarea de către:</w:t>
            </w:r>
          </w:p>
          <w:p w14:paraId="3FDB7235" w14:textId="77777777" w:rsidR="00670C79" w:rsidRPr="006449AD" w:rsidRDefault="00670C79" w:rsidP="006A5A1B">
            <w:r w:rsidRPr="006449AD">
              <w:t>a) Consiliul legislativ</w:t>
            </w:r>
          </w:p>
          <w:p w14:paraId="60B92AD3" w14:textId="77777777" w:rsidR="00670C79" w:rsidRPr="006449AD" w:rsidRDefault="00670C79" w:rsidP="006A5A1B">
            <w:r w:rsidRPr="006449AD">
              <w:t>b)Consiliul Suprem de Apărare a Ţării</w:t>
            </w:r>
          </w:p>
          <w:p w14:paraId="3AACDD1C" w14:textId="77777777" w:rsidR="00670C79" w:rsidRPr="006449AD" w:rsidRDefault="00670C79" w:rsidP="006A5A1B">
            <w:r w:rsidRPr="006449AD">
              <w:t>c)Consiliul Economic şi Social</w:t>
            </w:r>
          </w:p>
          <w:p w14:paraId="14AB49B3" w14:textId="77777777" w:rsidR="00670C79" w:rsidRPr="006449AD" w:rsidRDefault="00670C79" w:rsidP="006A5A1B">
            <w:r w:rsidRPr="006449AD">
              <w:t xml:space="preserve">d)Consiliul Concurenţei </w:t>
            </w:r>
          </w:p>
          <w:p w14:paraId="0A37194B" w14:textId="77777777" w:rsidR="00670C79" w:rsidRPr="006449AD" w:rsidRDefault="00670C79" w:rsidP="006A5A1B">
            <w:r w:rsidRPr="006449AD">
              <w:t>e)Curtea de Conturi</w:t>
            </w:r>
          </w:p>
        </w:tc>
        <w:tc>
          <w:tcPr>
            <w:tcW w:w="5220" w:type="dxa"/>
            <w:vAlign w:val="center"/>
          </w:tcPr>
          <w:p w14:paraId="7ED20DBC" w14:textId="4E22C3CA" w:rsidR="00670C79" w:rsidRPr="006449AD" w:rsidRDefault="00670C79" w:rsidP="006A5A1B">
            <w:pPr>
              <w:jc w:val="both"/>
            </w:pPr>
            <w:r w:rsidRPr="006449AD">
              <w:t>Prezentul proiect de act normativ este supus avizării Consiliului Legislativ</w:t>
            </w:r>
            <w:r w:rsidR="00221987" w:rsidRPr="006449AD">
              <w:t xml:space="preserve"> și s-a solicitat punctul de vedere al Autorității de Audit și al Curții de Conturi.</w:t>
            </w:r>
          </w:p>
        </w:tc>
      </w:tr>
      <w:tr w:rsidR="006449AD" w:rsidRPr="006449AD" w14:paraId="4938D81B" w14:textId="77777777" w:rsidTr="006A5A1B">
        <w:tc>
          <w:tcPr>
            <w:tcW w:w="5040" w:type="dxa"/>
          </w:tcPr>
          <w:p w14:paraId="7069E280" w14:textId="77777777" w:rsidR="00670C79" w:rsidRPr="006449AD" w:rsidRDefault="00670C79" w:rsidP="006A5A1B">
            <w:r w:rsidRPr="006449AD">
              <w:t>6.Alte informaţii</w:t>
            </w:r>
          </w:p>
        </w:tc>
        <w:tc>
          <w:tcPr>
            <w:tcW w:w="5220" w:type="dxa"/>
            <w:vAlign w:val="center"/>
          </w:tcPr>
          <w:p w14:paraId="292345C8" w14:textId="77777777" w:rsidR="00670C79" w:rsidRPr="006449AD" w:rsidRDefault="00670C79" w:rsidP="006A5A1B">
            <w:pPr>
              <w:spacing w:line="360" w:lineRule="auto"/>
              <w:jc w:val="both"/>
            </w:pPr>
            <w:r w:rsidRPr="006449AD">
              <w:t>Nu au fost identificate.</w:t>
            </w:r>
          </w:p>
        </w:tc>
      </w:tr>
    </w:tbl>
    <w:p w14:paraId="24C76478" w14:textId="77777777" w:rsidR="00670C79" w:rsidRDefault="00670C79" w:rsidP="00670C79">
      <w:pPr>
        <w:pStyle w:val="BodyTextIndent2"/>
        <w:spacing w:line="240" w:lineRule="auto"/>
        <w:ind w:left="180" w:right="98" w:firstLine="0"/>
        <w:jc w:val="both"/>
        <w:rPr>
          <w:bCs w:val="0"/>
          <w:sz w:val="24"/>
        </w:rPr>
      </w:pPr>
      <w:r w:rsidRPr="006449AD">
        <w:rPr>
          <w:bCs w:val="0"/>
          <w:sz w:val="24"/>
        </w:rPr>
        <w:t>Secţiunea a 7-a  Activităţi de informare publică privind elaborarea şi implementarea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6449AD" w:rsidRPr="006449AD" w14:paraId="732E424B" w14:textId="77777777" w:rsidTr="00E20EAD">
        <w:tc>
          <w:tcPr>
            <w:tcW w:w="3931" w:type="dxa"/>
          </w:tcPr>
          <w:p w14:paraId="10660F36" w14:textId="77777777" w:rsidR="00670C79" w:rsidRPr="006449AD" w:rsidRDefault="00670C79" w:rsidP="00E20EAD">
            <w:pPr>
              <w:jc w:val="both"/>
            </w:pPr>
            <w:r w:rsidRPr="006449AD">
              <w:t>1.Informarea societăţii civile cu privire la necesitatea elaborării proiectului de act normativ</w:t>
            </w:r>
          </w:p>
        </w:tc>
        <w:tc>
          <w:tcPr>
            <w:tcW w:w="6329" w:type="dxa"/>
          </w:tcPr>
          <w:p w14:paraId="36624643" w14:textId="513B29C8" w:rsidR="00670C79" w:rsidRPr="006449AD" w:rsidRDefault="006B075E" w:rsidP="00BF29AC">
            <w:pPr>
              <w:jc w:val="both"/>
            </w:pPr>
            <w:r w:rsidRPr="006449AD">
              <w:t xml:space="preserve">Prezentul proiect de act normativ respectă prevederile art. 7 alin. (13) din Legea nr. 52/2003 privind transparența decizională în administrația publică, republicată, și a fost publicat în dezbatere publică pe pagina de internet a Ministerului Fondurilor Europene la data de </w:t>
            </w:r>
            <w:r w:rsidR="00BF29AC" w:rsidRPr="00A42D45">
              <w:t>……………..</w:t>
            </w:r>
          </w:p>
        </w:tc>
      </w:tr>
      <w:tr w:rsidR="006449AD" w:rsidRPr="006449AD" w14:paraId="585061CE" w14:textId="77777777" w:rsidTr="00E20EAD">
        <w:tc>
          <w:tcPr>
            <w:tcW w:w="3931" w:type="dxa"/>
          </w:tcPr>
          <w:p w14:paraId="50B21BCD" w14:textId="77777777" w:rsidR="00670C79" w:rsidRPr="006449AD" w:rsidRDefault="00670C79" w:rsidP="00E20EAD">
            <w:pPr>
              <w:jc w:val="both"/>
            </w:pPr>
            <w:r w:rsidRPr="006449AD">
              <w:t>2.Informarea societăţii civile cu privire la eventualul impact asupra mediului în urma implementării proiectului de act normativ, precum şi efectele asupra sănătăţii şi securităţii cetăţeanului sau diversităţii biologice</w:t>
            </w:r>
          </w:p>
        </w:tc>
        <w:tc>
          <w:tcPr>
            <w:tcW w:w="6329" w:type="dxa"/>
          </w:tcPr>
          <w:p w14:paraId="5BE15852" w14:textId="77777777" w:rsidR="00670C79" w:rsidRPr="006449AD" w:rsidRDefault="00670C79" w:rsidP="006A5A1B">
            <w:pPr>
              <w:jc w:val="both"/>
            </w:pPr>
          </w:p>
          <w:p w14:paraId="6F061B40" w14:textId="77777777" w:rsidR="00670C79" w:rsidRPr="006449AD" w:rsidRDefault="00670C79" w:rsidP="006A5A1B">
            <w:pPr>
              <w:jc w:val="both"/>
            </w:pPr>
            <w:r w:rsidRPr="006449AD">
              <w:t>Proiectul de act normativ nu se referă la acest subiect.</w:t>
            </w:r>
          </w:p>
        </w:tc>
      </w:tr>
      <w:tr w:rsidR="006449AD" w:rsidRPr="006449AD" w14:paraId="6330D92F" w14:textId="77777777" w:rsidTr="00E20EAD">
        <w:tc>
          <w:tcPr>
            <w:tcW w:w="3931" w:type="dxa"/>
          </w:tcPr>
          <w:p w14:paraId="1EC509E8" w14:textId="77777777" w:rsidR="00670C79" w:rsidRPr="006449AD" w:rsidRDefault="00670C79" w:rsidP="006A5A1B">
            <w:r w:rsidRPr="006449AD">
              <w:t>3. Alte informaţii</w:t>
            </w:r>
          </w:p>
        </w:tc>
        <w:tc>
          <w:tcPr>
            <w:tcW w:w="6329" w:type="dxa"/>
            <w:vAlign w:val="center"/>
          </w:tcPr>
          <w:p w14:paraId="0819DC9B" w14:textId="77777777" w:rsidR="00670C79" w:rsidRPr="006449AD" w:rsidRDefault="00670C79" w:rsidP="006A5A1B">
            <w:pPr>
              <w:jc w:val="both"/>
            </w:pPr>
            <w:r w:rsidRPr="006449AD">
              <w:t>Nu au fost identificate.</w:t>
            </w:r>
          </w:p>
        </w:tc>
      </w:tr>
    </w:tbl>
    <w:p w14:paraId="3FBCA191" w14:textId="77777777" w:rsidR="00670C79" w:rsidRPr="006449AD" w:rsidRDefault="00670C79" w:rsidP="00670C79">
      <w:pPr>
        <w:ind w:left="180"/>
        <w:rPr>
          <w:b/>
        </w:rPr>
      </w:pPr>
      <w:r w:rsidRPr="006449AD">
        <w:rPr>
          <w:b/>
        </w:rPr>
        <w:t>Secţiunea a 8- a. Măsuri de implementare</w:t>
      </w: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6449AD" w:rsidRPr="006449AD" w14:paraId="5DF118D5" w14:textId="77777777" w:rsidTr="00E20EAD">
        <w:tc>
          <w:tcPr>
            <w:tcW w:w="3931" w:type="dxa"/>
          </w:tcPr>
          <w:p w14:paraId="428F02E7" w14:textId="77777777" w:rsidR="00670C79" w:rsidRPr="006449AD" w:rsidRDefault="00670C79" w:rsidP="006A5A1B">
            <w:pPr>
              <w:jc w:val="both"/>
            </w:pPr>
            <w:r w:rsidRPr="006449AD">
              <w:t>1. Măsuri de punere în aplicare a proiectului de act normativ de către autorităţile administrative publice centrale şi/sau locale-înfiinţarea sau extinderea competenţei instituţiilor existente</w:t>
            </w:r>
          </w:p>
        </w:tc>
        <w:tc>
          <w:tcPr>
            <w:tcW w:w="6329" w:type="dxa"/>
            <w:vAlign w:val="center"/>
          </w:tcPr>
          <w:p w14:paraId="036F3FD9" w14:textId="77777777" w:rsidR="00670C79" w:rsidRPr="006449AD" w:rsidRDefault="00670C79" w:rsidP="006A5A1B">
            <w:pPr>
              <w:pStyle w:val="Heading1"/>
              <w:jc w:val="both"/>
              <w:rPr>
                <w:sz w:val="24"/>
              </w:rPr>
            </w:pPr>
            <w:r w:rsidRPr="006449AD">
              <w:rPr>
                <w:sz w:val="24"/>
              </w:rPr>
              <w:t>Proiectul de act normativ nu se referă la acest subiect.</w:t>
            </w:r>
          </w:p>
        </w:tc>
      </w:tr>
      <w:tr w:rsidR="006449AD" w:rsidRPr="006449AD" w14:paraId="527F2573" w14:textId="77777777" w:rsidTr="00E20EAD">
        <w:tc>
          <w:tcPr>
            <w:tcW w:w="3931" w:type="dxa"/>
          </w:tcPr>
          <w:p w14:paraId="05529BA5" w14:textId="77777777" w:rsidR="00670C79" w:rsidRPr="006449AD" w:rsidRDefault="00670C79" w:rsidP="006A5A1B">
            <w:pPr>
              <w:jc w:val="both"/>
            </w:pPr>
            <w:r w:rsidRPr="006449AD">
              <w:t>2. Alte informaţii</w:t>
            </w:r>
          </w:p>
        </w:tc>
        <w:tc>
          <w:tcPr>
            <w:tcW w:w="6329" w:type="dxa"/>
            <w:vAlign w:val="center"/>
          </w:tcPr>
          <w:p w14:paraId="4D29AA82" w14:textId="77777777" w:rsidR="00670C79" w:rsidRPr="006449AD" w:rsidRDefault="00670C79" w:rsidP="006A5A1B">
            <w:pPr>
              <w:jc w:val="both"/>
            </w:pPr>
            <w:r w:rsidRPr="006449AD">
              <w:t>Nu au fost identificate.</w:t>
            </w:r>
          </w:p>
        </w:tc>
      </w:tr>
    </w:tbl>
    <w:p w14:paraId="7AAFE6BB" w14:textId="77777777" w:rsidR="002C5396" w:rsidRPr="006449AD" w:rsidRDefault="002C5396" w:rsidP="00E07299">
      <w:pPr>
        <w:widowControl w:val="0"/>
        <w:spacing w:line="276" w:lineRule="auto"/>
        <w:jc w:val="both"/>
      </w:pPr>
    </w:p>
    <w:p w14:paraId="04ED1DF1" w14:textId="3E2062D6" w:rsidR="006B075E" w:rsidRPr="006449AD" w:rsidRDefault="00670C79" w:rsidP="00E07299">
      <w:pPr>
        <w:widowControl w:val="0"/>
        <w:spacing w:line="276" w:lineRule="auto"/>
        <w:jc w:val="both"/>
      </w:pPr>
      <w:r w:rsidRPr="006449AD">
        <w:lastRenderedPageBreak/>
        <w:t xml:space="preserve">Faţă de cele prezentate mai sus, a fost promovat prezentul proiect de </w:t>
      </w:r>
      <w:r w:rsidR="00CB6C17" w:rsidRPr="006449AD">
        <w:t xml:space="preserve">Ordonanţă </w:t>
      </w:r>
      <w:r w:rsidR="00B505F9" w:rsidRPr="006449AD">
        <w:t>de urgență</w:t>
      </w:r>
      <w:r w:rsidR="003F5CF6" w:rsidRPr="006449AD">
        <w:t xml:space="preserve"> a</w:t>
      </w:r>
      <w:r w:rsidR="003F5CF6" w:rsidRPr="006449AD">
        <w:rPr>
          <w:b/>
        </w:rPr>
        <w:t xml:space="preserve"> </w:t>
      </w:r>
      <w:r w:rsidR="00275947" w:rsidRPr="00275947">
        <w:t>G</w:t>
      </w:r>
      <w:r w:rsidR="003F5CF6" w:rsidRPr="006449AD">
        <w:t xml:space="preserve">uvernului </w:t>
      </w:r>
      <w:r w:rsidR="00B21946" w:rsidRPr="006449AD">
        <w:t>pentru modificarea și completarea unor acte normative în domeniul fondurilor europene</w:t>
      </w:r>
      <w:r w:rsidR="00E07299" w:rsidRPr="006449AD">
        <w:t>, care</w:t>
      </w:r>
      <w:r w:rsidRPr="006449AD">
        <w:t xml:space="preserve"> în forma prezentată, a fost avizat de </w:t>
      </w:r>
      <w:r w:rsidR="008752C0" w:rsidRPr="006449AD">
        <w:t xml:space="preserve">Consiliul Legislativ, precum şi de către </w:t>
      </w:r>
      <w:r w:rsidRPr="006449AD">
        <w:t>ministerele interesate şi pe care îl supunem adoptării.</w:t>
      </w:r>
    </w:p>
    <w:p w14:paraId="6B905B16" w14:textId="77777777" w:rsidR="00064A6B" w:rsidRPr="006449AD" w:rsidRDefault="00064A6B" w:rsidP="00565752">
      <w:pPr>
        <w:jc w:val="both"/>
      </w:pPr>
    </w:p>
    <w:p w14:paraId="136FB310" w14:textId="77777777" w:rsidR="00DB19FF" w:rsidRPr="006449AD" w:rsidRDefault="00DB19FF" w:rsidP="00565752">
      <w:pPr>
        <w:jc w:val="both"/>
      </w:pP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5"/>
        <w:gridCol w:w="4796"/>
      </w:tblGrid>
      <w:tr w:rsidR="006449AD" w:rsidRPr="006449AD" w14:paraId="6A5DD967" w14:textId="77777777" w:rsidTr="00E20EAD">
        <w:tc>
          <w:tcPr>
            <w:tcW w:w="4985" w:type="dxa"/>
          </w:tcPr>
          <w:p w14:paraId="47B16090" w14:textId="18263164" w:rsidR="00705F15" w:rsidRPr="006449AD" w:rsidRDefault="006B075E" w:rsidP="001B7961">
            <w:pPr>
              <w:jc w:val="center"/>
              <w:rPr>
                <w:b/>
                <w:bCs/>
              </w:rPr>
            </w:pPr>
            <w:r w:rsidRPr="006449AD">
              <w:rPr>
                <w:b/>
                <w:bCs/>
              </w:rPr>
              <w:t>MINISTRUL FONDURILOR</w:t>
            </w:r>
            <w:r w:rsidR="00705F15" w:rsidRPr="006449AD">
              <w:rPr>
                <w:b/>
                <w:bCs/>
              </w:rPr>
              <w:t xml:space="preserve"> EUROPENE</w:t>
            </w:r>
          </w:p>
          <w:p w14:paraId="2AB71E24" w14:textId="77777777" w:rsidR="001B7961" w:rsidRPr="006449AD" w:rsidRDefault="001B7961" w:rsidP="001B7961">
            <w:pPr>
              <w:jc w:val="center"/>
              <w:rPr>
                <w:b/>
                <w:bCs/>
              </w:rPr>
            </w:pPr>
          </w:p>
          <w:p w14:paraId="17A2614C" w14:textId="4E0C6D58" w:rsidR="006B075E" w:rsidRPr="006449AD" w:rsidRDefault="00705F15" w:rsidP="001B7961">
            <w:pPr>
              <w:jc w:val="center"/>
              <w:rPr>
                <w:b/>
                <w:bCs/>
              </w:rPr>
            </w:pPr>
            <w:r w:rsidRPr="006449AD">
              <w:rPr>
                <w:b/>
                <w:bCs/>
              </w:rPr>
              <w:t xml:space="preserve">Ioan Marcel BOLOŞ </w:t>
            </w:r>
          </w:p>
        </w:tc>
        <w:tc>
          <w:tcPr>
            <w:tcW w:w="4796" w:type="dxa"/>
          </w:tcPr>
          <w:p w14:paraId="4B7B63AB" w14:textId="77777777" w:rsidR="006B075E" w:rsidRPr="006449AD" w:rsidRDefault="006B075E" w:rsidP="001B7961">
            <w:pPr>
              <w:rPr>
                <w:b/>
                <w:bCs/>
              </w:rPr>
            </w:pPr>
            <w:r w:rsidRPr="006449AD">
              <w:rPr>
                <w:b/>
                <w:bCs/>
              </w:rPr>
              <w:t>MINISTRUL FINANŢELOR PUBLICE</w:t>
            </w:r>
          </w:p>
          <w:p w14:paraId="3678BCE3" w14:textId="178EB358" w:rsidR="00705F15" w:rsidRPr="006449AD" w:rsidRDefault="00705F15" w:rsidP="001B7961">
            <w:pPr>
              <w:jc w:val="center"/>
              <w:rPr>
                <w:b/>
                <w:bCs/>
              </w:rPr>
            </w:pPr>
          </w:p>
          <w:p w14:paraId="05B2C694" w14:textId="77777777" w:rsidR="00705F15" w:rsidRPr="006449AD" w:rsidRDefault="00705F15" w:rsidP="001B7961">
            <w:pPr>
              <w:jc w:val="center"/>
              <w:rPr>
                <w:b/>
                <w:bCs/>
              </w:rPr>
            </w:pPr>
            <w:r w:rsidRPr="006449AD">
              <w:rPr>
                <w:b/>
                <w:bCs/>
              </w:rPr>
              <w:t>Vasile-Florin CÎŢU</w:t>
            </w:r>
          </w:p>
          <w:p w14:paraId="7BC0FE82" w14:textId="77777777" w:rsidR="00E20EAD" w:rsidRPr="006449AD" w:rsidRDefault="00E20EAD" w:rsidP="001B7961">
            <w:pPr>
              <w:jc w:val="center"/>
              <w:rPr>
                <w:b/>
                <w:bCs/>
              </w:rPr>
            </w:pPr>
          </w:p>
          <w:p w14:paraId="57AB86C3" w14:textId="77777777" w:rsidR="006B075E" w:rsidRPr="006449AD" w:rsidRDefault="006B075E" w:rsidP="001B7961">
            <w:pPr>
              <w:jc w:val="both"/>
              <w:rPr>
                <w:b/>
                <w:bCs/>
              </w:rPr>
            </w:pPr>
          </w:p>
        </w:tc>
      </w:tr>
      <w:tr w:rsidR="006449AD" w:rsidRPr="006449AD" w14:paraId="27BD5D38" w14:textId="77777777" w:rsidTr="00E20EAD">
        <w:tc>
          <w:tcPr>
            <w:tcW w:w="4985" w:type="dxa"/>
          </w:tcPr>
          <w:p w14:paraId="6188CAE9" w14:textId="4027379E" w:rsidR="006B075E" w:rsidRPr="006449AD" w:rsidRDefault="00707824" w:rsidP="00FA6179">
            <w:pPr>
              <w:jc w:val="center"/>
              <w:rPr>
                <w:b/>
                <w:bCs/>
              </w:rPr>
            </w:pPr>
            <w:hyperlink r:id="rId9" w:history="1">
              <w:r w:rsidR="001B7961" w:rsidRPr="006449AD">
                <w:rPr>
                  <w:b/>
                </w:rPr>
                <w:t>SECRETARUL GENERAL AL GUVERNULUI</w:t>
              </w:r>
            </w:hyperlink>
          </w:p>
          <w:p w14:paraId="57DD402F" w14:textId="77777777" w:rsidR="001B7961" w:rsidRPr="006449AD" w:rsidRDefault="001B7961" w:rsidP="00FA6179">
            <w:pPr>
              <w:jc w:val="center"/>
              <w:rPr>
                <w:b/>
                <w:bCs/>
              </w:rPr>
            </w:pPr>
          </w:p>
          <w:p w14:paraId="5DF4285C" w14:textId="77777777" w:rsidR="001B7961" w:rsidRPr="006449AD" w:rsidRDefault="001B7961" w:rsidP="00FA6179">
            <w:pPr>
              <w:jc w:val="center"/>
              <w:rPr>
                <w:b/>
                <w:bCs/>
              </w:rPr>
            </w:pPr>
          </w:p>
          <w:p w14:paraId="58CD546F" w14:textId="77777777" w:rsidR="001B7961" w:rsidRPr="006449AD" w:rsidRDefault="001B7961" w:rsidP="001B7961">
            <w:pPr>
              <w:jc w:val="center"/>
              <w:rPr>
                <w:b/>
                <w:bCs/>
              </w:rPr>
            </w:pPr>
            <w:proofErr w:type="spellStart"/>
            <w:r w:rsidRPr="006449AD">
              <w:rPr>
                <w:b/>
                <w:bCs/>
              </w:rPr>
              <w:t>Antonel</w:t>
            </w:r>
            <w:proofErr w:type="spellEnd"/>
            <w:r w:rsidRPr="006449AD">
              <w:rPr>
                <w:b/>
                <w:bCs/>
              </w:rPr>
              <w:t xml:space="preserve"> TĂNASE</w:t>
            </w:r>
          </w:p>
          <w:p w14:paraId="5F47CB69" w14:textId="2E0773DE" w:rsidR="001B7961" w:rsidRPr="006449AD" w:rsidRDefault="001B7961" w:rsidP="00FA6179">
            <w:pPr>
              <w:jc w:val="center"/>
              <w:rPr>
                <w:b/>
                <w:bCs/>
              </w:rPr>
            </w:pPr>
          </w:p>
        </w:tc>
        <w:tc>
          <w:tcPr>
            <w:tcW w:w="4796" w:type="dxa"/>
          </w:tcPr>
          <w:p w14:paraId="3E1C19D5" w14:textId="77777777" w:rsidR="00705F15" w:rsidRPr="006449AD" w:rsidRDefault="00705F15" w:rsidP="00705F15">
            <w:pPr>
              <w:jc w:val="center"/>
              <w:rPr>
                <w:b/>
                <w:bCs/>
              </w:rPr>
            </w:pPr>
            <w:r w:rsidRPr="006449AD">
              <w:rPr>
                <w:b/>
                <w:bCs/>
              </w:rPr>
              <w:t>PREȘEDINTELE AGENȚIEI NAȚIONALE</w:t>
            </w:r>
          </w:p>
          <w:p w14:paraId="5717C948" w14:textId="77777777" w:rsidR="00705F15" w:rsidRPr="006449AD" w:rsidRDefault="00705F15" w:rsidP="00705F15">
            <w:pPr>
              <w:jc w:val="center"/>
              <w:rPr>
                <w:b/>
                <w:bCs/>
              </w:rPr>
            </w:pPr>
            <w:r w:rsidRPr="006449AD">
              <w:rPr>
                <w:b/>
                <w:bCs/>
              </w:rPr>
              <w:t>PENTRU ACHIZIȚII PUBLICE</w:t>
            </w:r>
          </w:p>
          <w:p w14:paraId="4691C53E" w14:textId="77777777" w:rsidR="00705F15" w:rsidRPr="006449AD" w:rsidRDefault="00705F15" w:rsidP="00705F15">
            <w:pPr>
              <w:jc w:val="center"/>
              <w:rPr>
                <w:bCs/>
              </w:rPr>
            </w:pPr>
          </w:p>
          <w:p w14:paraId="6148BF8D" w14:textId="77777777" w:rsidR="00705F15" w:rsidRPr="006449AD" w:rsidRDefault="00705F15" w:rsidP="00705F15">
            <w:pPr>
              <w:jc w:val="center"/>
              <w:rPr>
                <w:b/>
                <w:bCs/>
              </w:rPr>
            </w:pPr>
            <w:r w:rsidRPr="006449AD">
              <w:rPr>
                <w:b/>
                <w:bCs/>
              </w:rPr>
              <w:t>Bogdan PUȘCAȘ</w:t>
            </w:r>
          </w:p>
          <w:p w14:paraId="35F0C89F" w14:textId="77777777" w:rsidR="00E20EAD" w:rsidRPr="006449AD" w:rsidRDefault="00E20EAD" w:rsidP="00705F15">
            <w:pPr>
              <w:jc w:val="center"/>
              <w:rPr>
                <w:b/>
                <w:bCs/>
              </w:rPr>
            </w:pPr>
          </w:p>
          <w:p w14:paraId="777A3E85" w14:textId="77777777" w:rsidR="006B075E" w:rsidRPr="006449AD" w:rsidRDefault="006B075E" w:rsidP="00705F15">
            <w:pPr>
              <w:jc w:val="center"/>
              <w:rPr>
                <w:b/>
                <w:bCs/>
              </w:rPr>
            </w:pPr>
          </w:p>
        </w:tc>
      </w:tr>
      <w:tr w:rsidR="006449AD" w:rsidRPr="006449AD" w14:paraId="3E901E3C" w14:textId="77777777" w:rsidTr="00E20EAD">
        <w:tc>
          <w:tcPr>
            <w:tcW w:w="9781" w:type="dxa"/>
            <w:gridSpan w:val="2"/>
          </w:tcPr>
          <w:p w14:paraId="2DAEBE9D" w14:textId="714D5E4A" w:rsidR="001B7961" w:rsidRPr="006449AD" w:rsidRDefault="001B7961" w:rsidP="00705F15">
            <w:pPr>
              <w:jc w:val="center"/>
              <w:rPr>
                <w:b/>
                <w:bCs/>
              </w:rPr>
            </w:pPr>
            <w:r w:rsidRPr="006449AD">
              <w:rPr>
                <w:b/>
                <w:bCs/>
              </w:rPr>
              <w:t xml:space="preserve">MINISTRUL TRANSPORTURILOR, INFRASTRUCTURII </w:t>
            </w:r>
          </w:p>
          <w:p w14:paraId="551F73F4" w14:textId="23D35CFC" w:rsidR="001B7961" w:rsidRPr="006449AD" w:rsidRDefault="001B7961" w:rsidP="00705F15">
            <w:pPr>
              <w:jc w:val="center"/>
              <w:rPr>
                <w:b/>
                <w:bCs/>
              </w:rPr>
            </w:pPr>
            <w:r w:rsidRPr="006449AD">
              <w:rPr>
                <w:b/>
                <w:bCs/>
              </w:rPr>
              <w:t>ȘI COMUNICAȚIILOR</w:t>
            </w:r>
          </w:p>
          <w:p w14:paraId="7EA3021D" w14:textId="77777777" w:rsidR="001B7961" w:rsidRPr="006449AD" w:rsidRDefault="001B7961" w:rsidP="00705F15">
            <w:pPr>
              <w:jc w:val="center"/>
              <w:rPr>
                <w:b/>
                <w:bCs/>
              </w:rPr>
            </w:pPr>
          </w:p>
          <w:p w14:paraId="46BC3D7F" w14:textId="4E95192E" w:rsidR="001B7961" w:rsidRPr="006449AD" w:rsidRDefault="001B7961" w:rsidP="00705F15">
            <w:pPr>
              <w:jc w:val="center"/>
              <w:rPr>
                <w:b/>
                <w:bCs/>
              </w:rPr>
            </w:pPr>
            <w:r w:rsidRPr="006449AD">
              <w:rPr>
                <w:b/>
                <w:bCs/>
              </w:rPr>
              <w:t>Lucian Nicolae BODE</w:t>
            </w:r>
          </w:p>
        </w:tc>
      </w:tr>
    </w:tbl>
    <w:p w14:paraId="26ADEC36" w14:textId="77777777" w:rsidR="003179ED" w:rsidRPr="006449AD" w:rsidRDefault="003179ED" w:rsidP="00565752">
      <w:pPr>
        <w:rPr>
          <w:b/>
          <w:bCs/>
        </w:rPr>
      </w:pPr>
    </w:p>
    <w:p w14:paraId="63B48D11" w14:textId="77777777" w:rsidR="00305061" w:rsidRPr="006449AD" w:rsidRDefault="00305061" w:rsidP="00064A6B">
      <w:pPr>
        <w:jc w:val="center"/>
        <w:rPr>
          <w:b/>
          <w:bCs/>
        </w:rPr>
      </w:pPr>
    </w:p>
    <w:p w14:paraId="6B4C5BE8" w14:textId="77777777" w:rsidR="00026B13" w:rsidRPr="006449AD" w:rsidRDefault="00026B13" w:rsidP="00C9066A">
      <w:pPr>
        <w:spacing w:after="240"/>
        <w:ind w:left="720" w:hanging="720"/>
        <w:jc w:val="center"/>
        <w:rPr>
          <w:b/>
          <w:u w:val="single"/>
        </w:rPr>
      </w:pPr>
    </w:p>
    <w:p w14:paraId="5183F050" w14:textId="3A8A2AF7" w:rsidR="005D4F6E" w:rsidRPr="006449AD" w:rsidRDefault="005D4F6E" w:rsidP="00C9066A">
      <w:pPr>
        <w:spacing w:after="240"/>
        <w:ind w:left="720" w:hanging="720"/>
        <w:jc w:val="center"/>
        <w:rPr>
          <w:b/>
          <w:u w:val="single"/>
        </w:rPr>
      </w:pPr>
      <w:r w:rsidRPr="006449AD">
        <w:rPr>
          <w:b/>
          <w:u w:val="single"/>
        </w:rPr>
        <w:t>AVIZĂM FAVORABIL:</w:t>
      </w:r>
    </w:p>
    <w:p w14:paraId="1CA0D381" w14:textId="3A6957F6" w:rsidR="005D4F6E" w:rsidRPr="006449AD" w:rsidRDefault="005D4F6E" w:rsidP="00C9066A">
      <w:pPr>
        <w:ind w:left="720" w:hanging="720"/>
        <w:jc w:val="center"/>
        <w:rPr>
          <w:b/>
        </w:rPr>
      </w:pPr>
      <w:r w:rsidRPr="006449AD">
        <w:rPr>
          <w:b/>
        </w:rPr>
        <w:t xml:space="preserve">MINISTRUL </w:t>
      </w:r>
      <w:r w:rsidR="00C01DF1" w:rsidRPr="006449AD">
        <w:rPr>
          <w:b/>
        </w:rPr>
        <w:t xml:space="preserve">LUCRĂRILOR PUBLICE, DEZVOLTĂRII ŞI </w:t>
      </w:r>
      <w:r w:rsidRPr="006449AD">
        <w:rPr>
          <w:b/>
        </w:rPr>
        <w:t xml:space="preserve">ADMINISTRAȚIEI </w:t>
      </w:r>
    </w:p>
    <w:p w14:paraId="1B3E4F24" w14:textId="77777777" w:rsidR="006622B7" w:rsidRPr="006449AD" w:rsidRDefault="006622B7" w:rsidP="00C9066A">
      <w:pPr>
        <w:ind w:left="720" w:hanging="720"/>
        <w:jc w:val="center"/>
        <w:rPr>
          <w:b/>
        </w:rPr>
      </w:pPr>
    </w:p>
    <w:p w14:paraId="6B6EC83E" w14:textId="5ABAF640" w:rsidR="00026B13" w:rsidRPr="006449AD" w:rsidRDefault="00C01DF1" w:rsidP="00C9066A">
      <w:pPr>
        <w:ind w:left="720" w:hanging="720"/>
        <w:jc w:val="center"/>
        <w:rPr>
          <w:b/>
        </w:rPr>
      </w:pPr>
      <w:r w:rsidRPr="006449AD">
        <w:rPr>
          <w:b/>
        </w:rPr>
        <w:t>Ion ŞTEFAN</w:t>
      </w:r>
    </w:p>
    <w:p w14:paraId="60DEC6B7" w14:textId="34AD7968" w:rsidR="005D4F6E" w:rsidRPr="006449AD" w:rsidRDefault="005D4F6E" w:rsidP="00C9066A">
      <w:pPr>
        <w:jc w:val="center"/>
        <w:rPr>
          <w:b/>
          <w:bCs/>
        </w:rPr>
      </w:pPr>
    </w:p>
    <w:p w14:paraId="5D7A45ED" w14:textId="77777777" w:rsidR="005D4F6E" w:rsidRPr="006449AD" w:rsidRDefault="005D4F6E" w:rsidP="00C9066A">
      <w:pPr>
        <w:jc w:val="center"/>
        <w:rPr>
          <w:b/>
          <w:bCs/>
        </w:rPr>
      </w:pPr>
    </w:p>
    <w:p w14:paraId="51395F90" w14:textId="2E35AECD" w:rsidR="005D4F6E" w:rsidRPr="006449AD" w:rsidRDefault="005D4F6E" w:rsidP="00C9066A">
      <w:pPr>
        <w:jc w:val="center"/>
        <w:rPr>
          <w:b/>
        </w:rPr>
      </w:pPr>
      <w:r w:rsidRPr="006449AD">
        <w:rPr>
          <w:b/>
        </w:rPr>
        <w:t>MINISTRUL AGRICULTURII ŞI DEZVOLTĂRII RURALE</w:t>
      </w:r>
    </w:p>
    <w:p w14:paraId="406EDA0E" w14:textId="77777777" w:rsidR="006622B7" w:rsidRPr="006449AD" w:rsidRDefault="006622B7" w:rsidP="00C9066A">
      <w:pPr>
        <w:jc w:val="center"/>
        <w:rPr>
          <w:b/>
        </w:rPr>
      </w:pPr>
    </w:p>
    <w:p w14:paraId="1404E132" w14:textId="5185D3F5" w:rsidR="00026B13" w:rsidRPr="006449AD" w:rsidRDefault="00C01DF1" w:rsidP="00C9066A">
      <w:pPr>
        <w:jc w:val="center"/>
        <w:rPr>
          <w:b/>
        </w:rPr>
      </w:pPr>
      <w:r w:rsidRPr="006449AD">
        <w:rPr>
          <w:b/>
        </w:rPr>
        <w:t>Nechita-Adrian OROS</w:t>
      </w:r>
    </w:p>
    <w:p w14:paraId="19EB288E" w14:textId="77777777" w:rsidR="005D4F6E" w:rsidRPr="006449AD" w:rsidRDefault="005D4F6E" w:rsidP="00C9066A">
      <w:pPr>
        <w:spacing w:after="120"/>
        <w:ind w:left="720" w:hanging="720"/>
        <w:jc w:val="center"/>
        <w:rPr>
          <w:b/>
          <w:u w:val="single"/>
        </w:rPr>
      </w:pPr>
    </w:p>
    <w:p w14:paraId="40A28CF0" w14:textId="5C7FC144" w:rsidR="00565752" w:rsidRPr="006449AD" w:rsidRDefault="005D4F6E" w:rsidP="00C9066A">
      <w:pPr>
        <w:jc w:val="center"/>
        <w:rPr>
          <w:b/>
        </w:rPr>
      </w:pPr>
      <w:r w:rsidRPr="006449AD">
        <w:rPr>
          <w:b/>
        </w:rPr>
        <w:t>MINISTRUL AFACERILOR EXTERNE</w:t>
      </w:r>
    </w:p>
    <w:p w14:paraId="38453F2C" w14:textId="77777777" w:rsidR="006622B7" w:rsidRPr="006449AD" w:rsidRDefault="006622B7" w:rsidP="00026B13">
      <w:pPr>
        <w:jc w:val="center"/>
        <w:rPr>
          <w:b/>
          <w:lang w:val="en-US"/>
        </w:rPr>
      </w:pPr>
    </w:p>
    <w:p w14:paraId="2356885F" w14:textId="16D203D4" w:rsidR="00026B13" w:rsidRPr="006449AD" w:rsidRDefault="00C01DF1" w:rsidP="00026B13">
      <w:pPr>
        <w:jc w:val="center"/>
        <w:rPr>
          <w:b/>
          <w:lang w:val="en-US"/>
        </w:rPr>
      </w:pPr>
      <w:r w:rsidRPr="006449AD">
        <w:rPr>
          <w:b/>
          <w:lang w:val="en-US"/>
        </w:rPr>
        <w:t>Bogdan Lucian AURESCU</w:t>
      </w:r>
    </w:p>
    <w:p w14:paraId="1A3FF995" w14:textId="77777777" w:rsidR="00026B13" w:rsidRPr="006449AD" w:rsidRDefault="00026B13" w:rsidP="00C9066A">
      <w:pPr>
        <w:jc w:val="center"/>
        <w:rPr>
          <w:b/>
        </w:rPr>
      </w:pPr>
    </w:p>
    <w:p w14:paraId="262B6EF4" w14:textId="77777777" w:rsidR="00026B13" w:rsidRPr="006449AD" w:rsidRDefault="00026B13" w:rsidP="00C9066A">
      <w:pPr>
        <w:shd w:val="clear" w:color="auto" w:fill="FFFFFF"/>
        <w:jc w:val="center"/>
        <w:rPr>
          <w:rFonts w:eastAsia="Arial Unicode MS"/>
          <w:b/>
        </w:rPr>
      </w:pPr>
    </w:p>
    <w:p w14:paraId="1A498DB1" w14:textId="1DE08285" w:rsidR="005D4F6E" w:rsidRPr="006449AD" w:rsidRDefault="005D4F6E" w:rsidP="00C9066A">
      <w:pPr>
        <w:shd w:val="clear" w:color="auto" w:fill="FFFFFF"/>
        <w:jc w:val="center"/>
        <w:rPr>
          <w:rFonts w:eastAsia="Arial Unicode MS"/>
          <w:b/>
        </w:rPr>
      </w:pPr>
      <w:r w:rsidRPr="006449AD">
        <w:rPr>
          <w:rFonts w:eastAsia="Arial Unicode MS"/>
          <w:b/>
        </w:rPr>
        <w:t>MINISTRUL JUSTIŢIEI</w:t>
      </w:r>
    </w:p>
    <w:p w14:paraId="539554D3" w14:textId="77777777" w:rsidR="006622B7" w:rsidRPr="006449AD" w:rsidRDefault="006622B7" w:rsidP="00C9066A">
      <w:pPr>
        <w:shd w:val="clear" w:color="auto" w:fill="FFFFFF"/>
        <w:jc w:val="center"/>
        <w:rPr>
          <w:rFonts w:eastAsia="Arial Unicode MS"/>
          <w:b/>
        </w:rPr>
      </w:pPr>
    </w:p>
    <w:p w14:paraId="3B8D7041" w14:textId="6C167260" w:rsidR="00E20EAD" w:rsidRPr="006449AD" w:rsidRDefault="00C01DF1" w:rsidP="008D498E">
      <w:pPr>
        <w:shd w:val="clear" w:color="auto" w:fill="FFFFFF"/>
        <w:jc w:val="center"/>
        <w:rPr>
          <w:rFonts w:eastAsia="Arial Unicode MS"/>
          <w:b/>
        </w:rPr>
      </w:pPr>
      <w:r w:rsidRPr="006449AD">
        <w:rPr>
          <w:rFonts w:eastAsia="Arial Unicode MS"/>
          <w:b/>
        </w:rPr>
        <w:t xml:space="preserve">Marian Cătălin PREDOIU </w:t>
      </w:r>
      <w:bookmarkStart w:id="1" w:name="_GoBack"/>
      <w:bookmarkEnd w:id="1"/>
    </w:p>
    <w:p w14:paraId="3C184EDF" w14:textId="77777777" w:rsidR="00E20EAD" w:rsidRPr="006449AD" w:rsidRDefault="00E20EAD" w:rsidP="008D498E">
      <w:pPr>
        <w:shd w:val="clear" w:color="auto" w:fill="FFFFFF"/>
        <w:jc w:val="center"/>
        <w:rPr>
          <w:rFonts w:eastAsia="Arial Unicode MS"/>
          <w:b/>
        </w:rPr>
      </w:pPr>
    </w:p>
    <w:p w14:paraId="0B969203" w14:textId="77777777" w:rsidR="00E20EAD" w:rsidRPr="006449AD" w:rsidRDefault="00E20EAD" w:rsidP="008D498E">
      <w:pPr>
        <w:shd w:val="clear" w:color="auto" w:fill="FFFFFF"/>
        <w:jc w:val="center"/>
        <w:rPr>
          <w:rFonts w:eastAsia="Arial Unicode MS"/>
          <w:b/>
        </w:rPr>
      </w:pPr>
    </w:p>
    <w:p w14:paraId="2A6C3E21" w14:textId="77777777" w:rsidR="00E20EAD" w:rsidRPr="006449AD" w:rsidRDefault="00E20EAD" w:rsidP="008D498E">
      <w:pPr>
        <w:shd w:val="clear" w:color="auto" w:fill="FFFFFF"/>
        <w:jc w:val="center"/>
        <w:rPr>
          <w:rFonts w:eastAsia="Arial Unicode MS"/>
          <w:b/>
        </w:rPr>
      </w:pPr>
    </w:p>
    <w:p w14:paraId="22DE918F" w14:textId="77777777" w:rsidR="00E20EAD" w:rsidRPr="006449AD" w:rsidRDefault="00E20EAD" w:rsidP="00E20EAD">
      <w:pPr>
        <w:rPr>
          <w:b/>
        </w:rPr>
      </w:pPr>
    </w:p>
    <w:sectPr w:rsidR="00E20EAD" w:rsidRPr="006449AD" w:rsidSect="00565752">
      <w:footerReference w:type="even" r:id="rId10"/>
      <w:footerReference w:type="default" r:id="rId11"/>
      <w:pgSz w:w="12240" w:h="15840"/>
      <w:pgMar w:top="737" w:right="851"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7AC4F" w14:textId="77777777" w:rsidR="00707824" w:rsidRDefault="00707824">
      <w:r>
        <w:separator/>
      </w:r>
    </w:p>
  </w:endnote>
  <w:endnote w:type="continuationSeparator" w:id="0">
    <w:p w14:paraId="038943D4" w14:textId="77777777" w:rsidR="00707824" w:rsidRDefault="0070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707824" w:rsidP="001C581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1042087"/>
      <w:docPartObj>
        <w:docPartGallery w:val="Page Numbers (Bottom of Page)"/>
        <w:docPartUnique/>
      </w:docPartObj>
    </w:sdtPr>
    <w:sdtEndPr>
      <w:rPr>
        <w:noProof/>
      </w:rPr>
    </w:sdtEndPr>
    <w:sdtContent>
      <w:p w14:paraId="31653F21" w14:textId="19713E9C" w:rsidR="00BA47F0" w:rsidRDefault="00BA47F0">
        <w:pPr>
          <w:pStyle w:val="Footer"/>
          <w:jc w:val="right"/>
        </w:pPr>
        <w:r>
          <w:fldChar w:fldCharType="begin"/>
        </w:r>
        <w:r>
          <w:instrText xml:space="preserve"> PAGE   \* MERGEFORMAT </w:instrText>
        </w:r>
        <w:r>
          <w:fldChar w:fldCharType="separate"/>
        </w:r>
        <w:r w:rsidR="00684723">
          <w:rPr>
            <w:noProof/>
          </w:rPr>
          <w:t>16</w:t>
        </w:r>
        <w:r>
          <w:rPr>
            <w:noProof/>
          </w:rPr>
          <w:fldChar w:fldCharType="end"/>
        </w:r>
      </w:p>
    </w:sdtContent>
  </w:sdt>
  <w:p w14:paraId="0C442F9A" w14:textId="77777777" w:rsidR="00EA23CB" w:rsidRDefault="00707824" w:rsidP="001C581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8592DD" w14:textId="77777777" w:rsidR="00707824" w:rsidRDefault="00707824">
      <w:r>
        <w:separator/>
      </w:r>
    </w:p>
  </w:footnote>
  <w:footnote w:type="continuationSeparator" w:id="0">
    <w:p w14:paraId="5C94936A" w14:textId="77777777" w:rsidR="00707824" w:rsidRDefault="007078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EA6"/>
    <w:rsid w:val="000155D5"/>
    <w:rsid w:val="00017D04"/>
    <w:rsid w:val="00026B13"/>
    <w:rsid w:val="00064A6B"/>
    <w:rsid w:val="00073195"/>
    <w:rsid w:val="000733D3"/>
    <w:rsid w:val="00085904"/>
    <w:rsid w:val="000A6298"/>
    <w:rsid w:val="000C7EAF"/>
    <w:rsid w:val="000D4C09"/>
    <w:rsid w:val="00101A9B"/>
    <w:rsid w:val="0010482B"/>
    <w:rsid w:val="00107736"/>
    <w:rsid w:val="00107E28"/>
    <w:rsid w:val="00112E9E"/>
    <w:rsid w:val="00121CCC"/>
    <w:rsid w:val="00133A3B"/>
    <w:rsid w:val="001459BC"/>
    <w:rsid w:val="0015762E"/>
    <w:rsid w:val="00161A61"/>
    <w:rsid w:val="00164FF3"/>
    <w:rsid w:val="001A374F"/>
    <w:rsid w:val="001A78A0"/>
    <w:rsid w:val="001B6DD8"/>
    <w:rsid w:val="001B7961"/>
    <w:rsid w:val="001C7510"/>
    <w:rsid w:val="001E058E"/>
    <w:rsid w:val="001F14A2"/>
    <w:rsid w:val="001F700D"/>
    <w:rsid w:val="00213BDB"/>
    <w:rsid w:val="00221987"/>
    <w:rsid w:val="00233D49"/>
    <w:rsid w:val="00244CF8"/>
    <w:rsid w:val="00275947"/>
    <w:rsid w:val="0027750A"/>
    <w:rsid w:val="00280BAF"/>
    <w:rsid w:val="00286173"/>
    <w:rsid w:val="00286DEC"/>
    <w:rsid w:val="002A7775"/>
    <w:rsid w:val="002B2155"/>
    <w:rsid w:val="002B689E"/>
    <w:rsid w:val="002C5396"/>
    <w:rsid w:val="002C6EEE"/>
    <w:rsid w:val="002D2048"/>
    <w:rsid w:val="002E22BC"/>
    <w:rsid w:val="002E6018"/>
    <w:rsid w:val="002E7E37"/>
    <w:rsid w:val="002F01BF"/>
    <w:rsid w:val="002F2645"/>
    <w:rsid w:val="00302D6F"/>
    <w:rsid w:val="00305061"/>
    <w:rsid w:val="00306119"/>
    <w:rsid w:val="003179ED"/>
    <w:rsid w:val="00322480"/>
    <w:rsid w:val="00332FEB"/>
    <w:rsid w:val="003456BD"/>
    <w:rsid w:val="00355C12"/>
    <w:rsid w:val="003605E7"/>
    <w:rsid w:val="0037559F"/>
    <w:rsid w:val="00390E31"/>
    <w:rsid w:val="003B3A2C"/>
    <w:rsid w:val="003B424D"/>
    <w:rsid w:val="003D6235"/>
    <w:rsid w:val="003F5CF6"/>
    <w:rsid w:val="0041039C"/>
    <w:rsid w:val="004248D9"/>
    <w:rsid w:val="00425D30"/>
    <w:rsid w:val="004362A6"/>
    <w:rsid w:val="00440136"/>
    <w:rsid w:val="004449A8"/>
    <w:rsid w:val="00445A50"/>
    <w:rsid w:val="0047738F"/>
    <w:rsid w:val="004806BE"/>
    <w:rsid w:val="004A26E1"/>
    <w:rsid w:val="004A39EE"/>
    <w:rsid w:val="004A6FCC"/>
    <w:rsid w:val="004B1ABD"/>
    <w:rsid w:val="004D5BA3"/>
    <w:rsid w:val="004D6ABC"/>
    <w:rsid w:val="004E40FD"/>
    <w:rsid w:val="004E789F"/>
    <w:rsid w:val="004F551E"/>
    <w:rsid w:val="00505AF3"/>
    <w:rsid w:val="00527866"/>
    <w:rsid w:val="00530AC8"/>
    <w:rsid w:val="0053145E"/>
    <w:rsid w:val="00533E19"/>
    <w:rsid w:val="00542411"/>
    <w:rsid w:val="00562652"/>
    <w:rsid w:val="00565752"/>
    <w:rsid w:val="0057730A"/>
    <w:rsid w:val="00577623"/>
    <w:rsid w:val="005A47ED"/>
    <w:rsid w:val="005A5A3E"/>
    <w:rsid w:val="005B31F7"/>
    <w:rsid w:val="005B58FF"/>
    <w:rsid w:val="005C2F53"/>
    <w:rsid w:val="005D05C7"/>
    <w:rsid w:val="005D33F6"/>
    <w:rsid w:val="005D4F6E"/>
    <w:rsid w:val="005E662E"/>
    <w:rsid w:val="005E6BD7"/>
    <w:rsid w:val="00601913"/>
    <w:rsid w:val="0060421A"/>
    <w:rsid w:val="006259CC"/>
    <w:rsid w:val="0063758C"/>
    <w:rsid w:val="006449AD"/>
    <w:rsid w:val="006467F1"/>
    <w:rsid w:val="00652918"/>
    <w:rsid w:val="00652E1B"/>
    <w:rsid w:val="006600DC"/>
    <w:rsid w:val="00660605"/>
    <w:rsid w:val="006622B7"/>
    <w:rsid w:val="00662E0D"/>
    <w:rsid w:val="00670C79"/>
    <w:rsid w:val="00670DA7"/>
    <w:rsid w:val="0067373F"/>
    <w:rsid w:val="006737CE"/>
    <w:rsid w:val="00677B92"/>
    <w:rsid w:val="00684723"/>
    <w:rsid w:val="00696435"/>
    <w:rsid w:val="006B075E"/>
    <w:rsid w:val="006B0F3D"/>
    <w:rsid w:val="006C63AE"/>
    <w:rsid w:val="006C711B"/>
    <w:rsid w:val="006E4FBF"/>
    <w:rsid w:val="006F350D"/>
    <w:rsid w:val="006F72EC"/>
    <w:rsid w:val="00705F15"/>
    <w:rsid w:val="00707824"/>
    <w:rsid w:val="00707949"/>
    <w:rsid w:val="007118D7"/>
    <w:rsid w:val="00713515"/>
    <w:rsid w:val="00720217"/>
    <w:rsid w:val="00723AC4"/>
    <w:rsid w:val="00723BA7"/>
    <w:rsid w:val="00726D70"/>
    <w:rsid w:val="00735154"/>
    <w:rsid w:val="00741AA7"/>
    <w:rsid w:val="00763CC1"/>
    <w:rsid w:val="007678A9"/>
    <w:rsid w:val="00786699"/>
    <w:rsid w:val="00793B14"/>
    <w:rsid w:val="007A5914"/>
    <w:rsid w:val="007B37F8"/>
    <w:rsid w:val="007D6BE6"/>
    <w:rsid w:val="007E2F46"/>
    <w:rsid w:val="007E6D8E"/>
    <w:rsid w:val="00812F1A"/>
    <w:rsid w:val="00821E21"/>
    <w:rsid w:val="00823B92"/>
    <w:rsid w:val="008438F3"/>
    <w:rsid w:val="00843E24"/>
    <w:rsid w:val="00857F6E"/>
    <w:rsid w:val="008705E3"/>
    <w:rsid w:val="0087248D"/>
    <w:rsid w:val="00873608"/>
    <w:rsid w:val="008752C0"/>
    <w:rsid w:val="008965DD"/>
    <w:rsid w:val="008A1CD6"/>
    <w:rsid w:val="008A2707"/>
    <w:rsid w:val="008A3EC9"/>
    <w:rsid w:val="008B2AA3"/>
    <w:rsid w:val="008B33C1"/>
    <w:rsid w:val="008B707D"/>
    <w:rsid w:val="008C6322"/>
    <w:rsid w:val="008C7047"/>
    <w:rsid w:val="008D498E"/>
    <w:rsid w:val="008E14AF"/>
    <w:rsid w:val="008E3D03"/>
    <w:rsid w:val="008F32CD"/>
    <w:rsid w:val="008F35A0"/>
    <w:rsid w:val="008F41E3"/>
    <w:rsid w:val="009064F7"/>
    <w:rsid w:val="00907A95"/>
    <w:rsid w:val="00907AEA"/>
    <w:rsid w:val="00911BC0"/>
    <w:rsid w:val="00916B41"/>
    <w:rsid w:val="00923B3E"/>
    <w:rsid w:val="00931AF0"/>
    <w:rsid w:val="00935C77"/>
    <w:rsid w:val="00947EA6"/>
    <w:rsid w:val="00953180"/>
    <w:rsid w:val="00954311"/>
    <w:rsid w:val="0096680B"/>
    <w:rsid w:val="00966D02"/>
    <w:rsid w:val="009817E8"/>
    <w:rsid w:val="00996E8E"/>
    <w:rsid w:val="009B71DC"/>
    <w:rsid w:val="009C238D"/>
    <w:rsid w:val="009C25D9"/>
    <w:rsid w:val="009C5EAE"/>
    <w:rsid w:val="009D4DAF"/>
    <w:rsid w:val="009E29C9"/>
    <w:rsid w:val="009E6591"/>
    <w:rsid w:val="009F327C"/>
    <w:rsid w:val="009F799C"/>
    <w:rsid w:val="00A20814"/>
    <w:rsid w:val="00A24686"/>
    <w:rsid w:val="00A33926"/>
    <w:rsid w:val="00A35590"/>
    <w:rsid w:val="00A42D45"/>
    <w:rsid w:val="00A44D23"/>
    <w:rsid w:val="00A63839"/>
    <w:rsid w:val="00A83729"/>
    <w:rsid w:val="00A93216"/>
    <w:rsid w:val="00A93F34"/>
    <w:rsid w:val="00AB2920"/>
    <w:rsid w:val="00AC3642"/>
    <w:rsid w:val="00AD4DD2"/>
    <w:rsid w:val="00B21946"/>
    <w:rsid w:val="00B505F9"/>
    <w:rsid w:val="00B93B50"/>
    <w:rsid w:val="00BA47F0"/>
    <w:rsid w:val="00BA4E0F"/>
    <w:rsid w:val="00BB2E04"/>
    <w:rsid w:val="00BB34E3"/>
    <w:rsid w:val="00BB5721"/>
    <w:rsid w:val="00BD4914"/>
    <w:rsid w:val="00BD55B7"/>
    <w:rsid w:val="00BF0642"/>
    <w:rsid w:val="00BF29AC"/>
    <w:rsid w:val="00C005BC"/>
    <w:rsid w:val="00C01DF1"/>
    <w:rsid w:val="00C10B3B"/>
    <w:rsid w:val="00C16B79"/>
    <w:rsid w:val="00C224C0"/>
    <w:rsid w:val="00C249F4"/>
    <w:rsid w:val="00C57FF1"/>
    <w:rsid w:val="00C62223"/>
    <w:rsid w:val="00C8303E"/>
    <w:rsid w:val="00C84EC9"/>
    <w:rsid w:val="00C9066A"/>
    <w:rsid w:val="00CA560E"/>
    <w:rsid w:val="00CB6C17"/>
    <w:rsid w:val="00CB78C4"/>
    <w:rsid w:val="00CC1CB4"/>
    <w:rsid w:val="00CD2EA0"/>
    <w:rsid w:val="00CD681E"/>
    <w:rsid w:val="00CE2716"/>
    <w:rsid w:val="00CE461E"/>
    <w:rsid w:val="00CE699E"/>
    <w:rsid w:val="00CE7B3A"/>
    <w:rsid w:val="00CF5CDF"/>
    <w:rsid w:val="00CF7D07"/>
    <w:rsid w:val="00D03109"/>
    <w:rsid w:val="00D100AF"/>
    <w:rsid w:val="00D43767"/>
    <w:rsid w:val="00D52251"/>
    <w:rsid w:val="00D60512"/>
    <w:rsid w:val="00D63CCB"/>
    <w:rsid w:val="00D7465B"/>
    <w:rsid w:val="00D94C5D"/>
    <w:rsid w:val="00DA3DF4"/>
    <w:rsid w:val="00DB02E7"/>
    <w:rsid w:val="00DB19FF"/>
    <w:rsid w:val="00DB456B"/>
    <w:rsid w:val="00DB6D2A"/>
    <w:rsid w:val="00DD0632"/>
    <w:rsid w:val="00DE7345"/>
    <w:rsid w:val="00E020B4"/>
    <w:rsid w:val="00E07299"/>
    <w:rsid w:val="00E17A0A"/>
    <w:rsid w:val="00E20EAD"/>
    <w:rsid w:val="00E27D5F"/>
    <w:rsid w:val="00E44A2E"/>
    <w:rsid w:val="00E541DB"/>
    <w:rsid w:val="00E661DA"/>
    <w:rsid w:val="00E6795C"/>
    <w:rsid w:val="00E72D9D"/>
    <w:rsid w:val="00E760AA"/>
    <w:rsid w:val="00E963FB"/>
    <w:rsid w:val="00EE46DE"/>
    <w:rsid w:val="00EF2A2C"/>
    <w:rsid w:val="00EF30E5"/>
    <w:rsid w:val="00EF5746"/>
    <w:rsid w:val="00EF587D"/>
    <w:rsid w:val="00F06D25"/>
    <w:rsid w:val="00F1512E"/>
    <w:rsid w:val="00F24977"/>
    <w:rsid w:val="00F24B2C"/>
    <w:rsid w:val="00F26279"/>
    <w:rsid w:val="00F27C6C"/>
    <w:rsid w:val="00F37A62"/>
    <w:rsid w:val="00F45A78"/>
    <w:rsid w:val="00F52E60"/>
    <w:rsid w:val="00F618F1"/>
    <w:rsid w:val="00F73D39"/>
    <w:rsid w:val="00FA1077"/>
    <w:rsid w:val="00FA47DC"/>
    <w:rsid w:val="00FA6179"/>
    <w:rsid w:val="00FB2692"/>
    <w:rsid w:val="00FB5FAE"/>
    <w:rsid w:val="00FB676B"/>
    <w:rsid w:val="00FD0D95"/>
    <w:rsid w:val="00FD6CF0"/>
    <w:rsid w:val="00FD7CF9"/>
    <w:rsid w:val="00FE39A9"/>
    <w:rsid w:val="00FF1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CE7B3A"/>
    <w:rPr>
      <w:sz w:val="16"/>
      <w:szCs w:val="16"/>
    </w:rPr>
  </w:style>
  <w:style w:type="paragraph" w:styleId="CommentText">
    <w:name w:val="annotation text"/>
    <w:basedOn w:val="Normal"/>
    <w:link w:val="CommentTextChar"/>
    <w:uiPriority w:val="99"/>
    <w:semiHidden/>
    <w:unhideWhenUsed/>
    <w:rsid w:val="00CE7B3A"/>
    <w:rPr>
      <w:sz w:val="20"/>
      <w:szCs w:val="20"/>
    </w:rPr>
  </w:style>
  <w:style w:type="character" w:customStyle="1" w:styleId="CommentTextChar">
    <w:name w:val="Comment Text Char"/>
    <w:basedOn w:val="DefaultParagraphFont"/>
    <w:link w:val="CommentText"/>
    <w:uiPriority w:val="99"/>
    <w:semiHidden/>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99"/>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CE7B3A"/>
    <w:rPr>
      <w:sz w:val="16"/>
      <w:szCs w:val="16"/>
    </w:rPr>
  </w:style>
  <w:style w:type="paragraph" w:styleId="CommentText">
    <w:name w:val="annotation text"/>
    <w:basedOn w:val="Normal"/>
    <w:link w:val="CommentTextChar"/>
    <w:uiPriority w:val="99"/>
    <w:semiHidden/>
    <w:unhideWhenUsed/>
    <w:rsid w:val="00CE7B3A"/>
    <w:rPr>
      <w:sz w:val="20"/>
      <w:szCs w:val="20"/>
    </w:rPr>
  </w:style>
  <w:style w:type="character" w:customStyle="1" w:styleId="CommentTextChar">
    <w:name w:val="Comment Text Char"/>
    <w:basedOn w:val="DefaultParagraphFont"/>
    <w:link w:val="CommentText"/>
    <w:uiPriority w:val="99"/>
    <w:semiHidden/>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99"/>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sgg.gov.ro/n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CB9CD-B6DF-4951-8B1C-2C8FE8FB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6406</Words>
  <Characters>37160</Characters>
  <Application>Microsoft Office Word</Application>
  <DocSecurity>0</DocSecurity>
  <Lines>309</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Author</cp:lastModifiedBy>
  <cp:revision>2</cp:revision>
  <cp:lastPrinted>2019-11-26T12:43:00Z</cp:lastPrinted>
  <dcterms:created xsi:type="dcterms:W3CDTF">2019-11-27T14:48:00Z</dcterms:created>
  <dcterms:modified xsi:type="dcterms:W3CDTF">2019-11-27T14:48:00Z</dcterms:modified>
</cp:coreProperties>
</file>